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Pr="00D243FF" w:rsidRDefault="00961502" w:rsidP="00BE2E25">
      <w:pPr>
        <w:spacing w:after="0" w:line="240" w:lineRule="auto"/>
        <w:rPr>
          <w:rFonts w:ascii="Tahoma" w:hAnsi="Tahoma" w:cs="Tahoma"/>
          <w:b/>
          <w:bCs/>
          <w:color w:val="000000"/>
          <w:sz w:val="20"/>
          <w:szCs w:val="16"/>
          <w:shd w:val="clear" w:color="auto" w:fill="FFFFFF"/>
        </w:rPr>
      </w:pPr>
      <w:bookmarkStart w:id="0" w:name="_GoBack"/>
      <w:bookmarkEnd w:id="0"/>
      <w:r>
        <w:rPr>
          <w:rFonts w:ascii="Tahoma" w:hAnsi="Tahoma" w:cs="Tahoma"/>
          <w:b/>
          <w:bCs/>
          <w:noProof/>
          <w:color w:val="000000"/>
          <w:sz w:val="20"/>
          <w:szCs w:val="16"/>
          <w:shd w:val="clear" w:color="auto" w:fill="FFFFFF"/>
          <w:lang w:val="es-EC" w:eastAsia="es-EC"/>
        </w:rPr>
        <w:drawing>
          <wp:anchor distT="0" distB="0" distL="114300" distR="114300" simplePos="0" relativeHeight="251668480" behindDoc="1" locked="0" layoutInCell="1" allowOverlap="1" wp14:anchorId="41A95E02" wp14:editId="19885183">
            <wp:simplePos x="0" y="0"/>
            <wp:positionH relativeFrom="column">
              <wp:posOffset>-711835</wp:posOffset>
            </wp:positionH>
            <wp:positionV relativeFrom="paragraph">
              <wp:posOffset>-1141730</wp:posOffset>
            </wp:positionV>
            <wp:extent cx="7564120" cy="1503680"/>
            <wp:effectExtent l="0" t="0" r="0" b="1270"/>
            <wp:wrapTight wrapText="bothSides">
              <wp:wrapPolygon edited="0">
                <wp:start x="0" y="0"/>
                <wp:lineTo x="0" y="21345"/>
                <wp:lineTo x="21542" y="21345"/>
                <wp:lineTo x="21542" y="0"/>
                <wp:lineTo x="0" y="0"/>
              </wp:wrapPolygon>
            </wp:wrapTight>
            <wp:docPr id="11" name="Imagen 11" descr="C:\Users\LILIANA\Pictures\ANUNCIOS 2017\ENCABEZADOS BOLET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LIANA\Pictures\ANUNCIOS 2017\ENCABEZADOS BOLETINES.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4120" cy="1503680"/>
                    </a:xfrm>
                    <a:prstGeom prst="rect">
                      <a:avLst/>
                    </a:prstGeom>
                    <a:noFill/>
                    <a:ln>
                      <a:noFill/>
                    </a:ln>
                  </pic:spPr>
                </pic:pic>
              </a:graphicData>
            </a:graphic>
            <wp14:sizeRelH relativeFrom="page">
              <wp14:pctWidth>0</wp14:pctWidth>
            </wp14:sizeRelH>
            <wp14:sizeRelV relativeFrom="page">
              <wp14:pctHeight>0</wp14:pctHeight>
            </wp14:sizeRelV>
          </wp:anchor>
        </w:drawing>
      </w:r>
      <w:r w:rsidR="008F1247" w:rsidRPr="00D243FF">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7456" behindDoc="0" locked="0" layoutInCell="1" allowOverlap="1" wp14:anchorId="61C75024" wp14:editId="365A4F84">
                <wp:simplePos x="0" y="0"/>
                <wp:positionH relativeFrom="column">
                  <wp:posOffset>4678680</wp:posOffset>
                </wp:positionH>
                <wp:positionV relativeFrom="paragraph">
                  <wp:posOffset>-18415</wp:posOffset>
                </wp:positionV>
                <wp:extent cx="20637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4562" w:rsidRPr="000204F1" w:rsidRDefault="0072669E" w:rsidP="001E43B5">
                            <w:pPr>
                              <w:spacing w:after="0" w:line="240" w:lineRule="auto"/>
                              <w:jc w:val="right"/>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Marzo </w:t>
                            </w:r>
                            <w:r w:rsidR="00054562" w:rsidRPr="000204F1">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2017</w:t>
                            </w:r>
                          </w:p>
                          <w:p w:rsidR="00054562" w:rsidRPr="000204F1" w:rsidRDefault="00054562" w:rsidP="001E43B5">
                            <w:pPr>
                              <w:spacing w:after="0" w:line="240" w:lineRule="auto"/>
                              <w:jc w:val="right"/>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204F1">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72669E">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w:t>
                            </w:r>
                            <w:r w:rsidRPr="000204F1">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368.4pt;margin-top:-1.45pt;width:162.5pt;height:3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PH1uQIAAMA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" filled="f" stroked="f">
                <v:textbox>
                  <w:txbxContent>
                    <w:p w:rsidR="00054562" w:rsidRPr="000204F1" w:rsidRDefault="0072669E" w:rsidP="001E43B5">
                      <w:pPr>
                        <w:spacing w:after="0" w:line="240" w:lineRule="auto"/>
                        <w:jc w:val="right"/>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Marzo </w:t>
                      </w:r>
                      <w:r w:rsidR="00054562" w:rsidRPr="000204F1">
                        <w:rPr>
                          <w:rFonts w:ascii="Tahoma" w:hAnsi="Tahoma" w:cs="Tahoma"/>
                          <w:b/>
                          <w:color w:val="99336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2017</w:t>
                      </w:r>
                    </w:p>
                    <w:p w:rsidR="00054562" w:rsidRPr="000204F1" w:rsidRDefault="00054562" w:rsidP="001E43B5">
                      <w:pPr>
                        <w:spacing w:after="0" w:line="240" w:lineRule="auto"/>
                        <w:jc w:val="right"/>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0204F1">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No.  </w:t>
                      </w:r>
                      <w:r w:rsidR="0072669E">
                        <w:rPr>
                          <w:rFonts w:ascii="Tahoma" w:hAnsi="Tahoma" w:cs="Tahoma"/>
                          <w:b/>
                          <w:color w:val="993366"/>
                          <w:sz w:val="3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6</w:t>
                      </w:r>
                      <w:r w:rsidRPr="000204F1">
                        <w:rPr>
                          <w:rFonts w:ascii="Tahoma" w:hAnsi="Tahoma" w:cs="Tahoma"/>
                          <w:b/>
                          <w:color w:val="993366"/>
                          <w:sz w:val="24"/>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w:t>
                      </w:r>
                    </w:p>
                  </w:txbxContent>
                </v:textbox>
              </v:shape>
            </w:pict>
          </mc:Fallback>
        </mc:AlternateContent>
      </w:r>
    </w:p>
    <w:p w:rsidR="00FA7C89" w:rsidRPr="00D243FF" w:rsidRDefault="00FA7C89" w:rsidP="00BE2E25">
      <w:pPr>
        <w:spacing w:after="0" w:line="240" w:lineRule="auto"/>
        <w:rPr>
          <w:rFonts w:ascii="Tahoma" w:hAnsi="Tahoma" w:cs="Tahoma"/>
          <w:b/>
          <w:bCs/>
          <w:color w:val="000000"/>
          <w:sz w:val="20"/>
          <w:szCs w:val="16"/>
          <w:shd w:val="clear" w:color="auto" w:fill="FFFFFF"/>
        </w:rPr>
      </w:pPr>
    </w:p>
    <w:p w:rsidR="00FD11DB" w:rsidRPr="000249D0" w:rsidRDefault="003F1E8D" w:rsidP="00FD11DB">
      <w:pPr>
        <w:spacing w:after="0" w:line="240" w:lineRule="auto"/>
        <w:jc w:val="center"/>
        <w:rPr>
          <w:rFonts w:ascii="Tahoma" w:hAnsi="Tahoma" w:cs="Tahoma"/>
          <w:caps/>
          <w:color w:val="009999"/>
          <w:sz w:val="36"/>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0249D0">
        <w:rPr>
          <w:rFonts w:ascii="Tahoma" w:hAnsi="Tahoma" w:cs="Tahoma"/>
          <w:caps/>
          <w:color w:val="009999"/>
          <w:sz w:val="36"/>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FUNCIÓN EJECUTIVA</w:t>
      </w:r>
    </w:p>
    <w:p w:rsidR="000249D0" w:rsidRPr="000249D0" w:rsidRDefault="000249D0" w:rsidP="003F1E8D">
      <w:pPr>
        <w:spacing w:after="0" w:line="240" w:lineRule="auto"/>
        <w:rPr>
          <w:rFonts w:ascii="Tahoma" w:eastAsia="Times New Roman" w:hAnsi="Tahoma" w:cs="Tahoma"/>
          <w:bCs/>
          <w:caps/>
          <w:color w:val="009999"/>
          <w:sz w:val="12"/>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3F1E8D" w:rsidRPr="003F1E8D" w:rsidRDefault="003F1E8D" w:rsidP="003F1E8D">
      <w:pPr>
        <w:spacing w:after="0" w:line="240" w:lineRule="auto"/>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3F1E8D">
        <w:rPr>
          <w:rFonts w:ascii="Tahoma" w:eastAsia="Times New Roman" w:hAnsi="Tahoma" w:cs="Tahoma"/>
          <w:bCs/>
          <w:caps/>
          <w:color w:val="009999"/>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SERVICIO DE RENTAS INTERNAS: </w:t>
      </w:r>
    </w:p>
    <w:p w:rsidR="003F1E8D" w:rsidRDefault="003F1E8D" w:rsidP="003F1E8D">
      <w:pPr>
        <w:shd w:val="clear" w:color="auto" w:fill="FFFFFF"/>
        <w:spacing w:after="0" w:line="240" w:lineRule="auto"/>
        <w:rPr>
          <w:rFonts w:ascii="Arial" w:eastAsia="Times New Roman" w:hAnsi="Arial" w:cs="Arial"/>
          <w:b/>
          <w:color w:val="76838F"/>
          <w:sz w:val="24"/>
          <w:szCs w:val="48"/>
          <w:lang w:val="es-EC" w:eastAsia="es-EC"/>
        </w:rPr>
      </w:pPr>
    </w:p>
    <w:p w:rsidR="000249D0" w:rsidRPr="000249D0" w:rsidRDefault="000249D0" w:rsidP="000249D0">
      <w:pPr>
        <w:shd w:val="clear" w:color="auto" w:fill="FFFFFF"/>
        <w:spacing w:after="0" w:line="240" w:lineRule="auto"/>
        <w:rPr>
          <w:rFonts w:ascii="Arial" w:eastAsia="Times New Roman" w:hAnsi="Arial" w:cs="Arial"/>
          <w:b/>
          <w:color w:val="76838F"/>
          <w:sz w:val="24"/>
          <w:szCs w:val="48"/>
          <w:lang w:val="es-EC" w:eastAsia="es-EC"/>
        </w:rPr>
      </w:pPr>
      <w:r w:rsidRPr="000249D0">
        <w:rPr>
          <w:rFonts w:ascii="Arial" w:eastAsia="Times New Roman" w:hAnsi="Arial" w:cs="Arial"/>
          <w:b/>
          <w:color w:val="76838F"/>
          <w:sz w:val="24"/>
          <w:szCs w:val="48"/>
          <w:lang w:val="es-EC" w:eastAsia="es-EC"/>
        </w:rPr>
        <w:t xml:space="preserve">Suplemento </w:t>
      </w:r>
      <w:r>
        <w:rPr>
          <w:rFonts w:ascii="Arial" w:eastAsia="Times New Roman" w:hAnsi="Arial" w:cs="Arial"/>
          <w:b/>
          <w:color w:val="76838F"/>
          <w:sz w:val="24"/>
          <w:szCs w:val="48"/>
          <w:lang w:val="es-EC" w:eastAsia="es-EC"/>
        </w:rPr>
        <w:t>Registro Oficial</w:t>
      </w:r>
      <w:r w:rsidRPr="003F1E8D">
        <w:rPr>
          <w:rFonts w:ascii="Arial" w:eastAsia="Times New Roman" w:hAnsi="Arial" w:cs="Arial"/>
          <w:b/>
          <w:color w:val="76838F"/>
          <w:sz w:val="24"/>
          <w:szCs w:val="48"/>
          <w:lang w:val="es-EC" w:eastAsia="es-EC"/>
        </w:rPr>
        <w:t xml:space="preserve"> </w:t>
      </w:r>
      <w:r w:rsidRPr="000249D0">
        <w:rPr>
          <w:rFonts w:ascii="Arial" w:eastAsia="Times New Roman" w:hAnsi="Arial" w:cs="Arial"/>
          <w:b/>
          <w:color w:val="76838F"/>
          <w:sz w:val="24"/>
          <w:szCs w:val="48"/>
          <w:lang w:val="es-EC" w:eastAsia="es-EC"/>
        </w:rPr>
        <w:t>No. 953, Miércoles 01 de Marzo de 2017</w:t>
      </w:r>
    </w:p>
    <w:p w:rsidR="000249D0" w:rsidRPr="00FD4013" w:rsidRDefault="000249D0" w:rsidP="000249D0">
      <w:pPr>
        <w:shd w:val="clear" w:color="auto" w:fill="FFFFFF"/>
        <w:spacing w:after="0" w:line="240" w:lineRule="auto"/>
        <w:jc w:val="center"/>
        <w:rPr>
          <w:rFonts w:ascii="Tahoma" w:eastAsia="Times New Roman" w:hAnsi="Tahoma" w:cs="Tahoma"/>
          <w:sz w:val="16"/>
          <w:szCs w:val="16"/>
          <w:lang w:eastAsia="es-EC"/>
        </w:rPr>
      </w:pPr>
    </w:p>
    <w:p w:rsidR="000249D0" w:rsidRPr="000249D0" w:rsidRDefault="0060184D" w:rsidP="000249D0">
      <w:pPr>
        <w:pStyle w:val="Prrafodelista"/>
        <w:numPr>
          <w:ilvl w:val="0"/>
          <w:numId w:val="23"/>
        </w:numPr>
        <w:shd w:val="clear" w:color="auto" w:fill="FFFFFF"/>
        <w:spacing w:after="0" w:line="240" w:lineRule="auto"/>
        <w:jc w:val="both"/>
        <w:rPr>
          <w:rFonts w:ascii="Tahoma" w:eastAsia="Times New Roman" w:hAnsi="Tahoma" w:cs="Tahoma"/>
          <w:color w:val="006666"/>
          <w:sz w:val="16"/>
          <w:szCs w:val="16"/>
          <w:lang w:eastAsia="es-EC"/>
        </w:rPr>
      </w:pPr>
      <w:hyperlink r:id="rId11" w:history="1">
        <w:r w:rsidR="000249D0" w:rsidRPr="000249D0">
          <w:rPr>
            <w:rFonts w:ascii="Tahoma" w:hAnsi="Tahoma" w:cs="Tahoma"/>
            <w:b/>
            <w:color w:val="006666"/>
            <w:sz w:val="20"/>
          </w:rPr>
          <w:t>NAC-DGERCGC17-00000117</w:t>
        </w:r>
      </w:hyperlink>
      <w:r w:rsidR="000249D0" w:rsidRPr="00FD4013">
        <w:rPr>
          <w:rFonts w:ascii="Tahoma" w:hAnsi="Tahoma" w:cs="Tahoma"/>
          <w:b/>
          <w:color w:val="006666"/>
          <w:sz w:val="20"/>
        </w:rPr>
        <w:t>: Refórmese la Resolución No. NAC-DGERCGC16-0000 0158, publicada en la Edición Especial No. 570 – Registro Oficial de 25 de abril de 2016</w:t>
      </w:r>
      <w:r w:rsidR="000249D0" w:rsidRPr="00FD4013">
        <w:rPr>
          <w:rFonts w:ascii="Tahoma" w:hAnsi="Tahoma" w:cs="Tahoma"/>
          <w:b/>
          <w:color w:val="006666"/>
          <w:sz w:val="20"/>
        </w:rPr>
        <w:br/>
      </w: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Resuelve:</w:t>
      </w:r>
      <w:r w:rsidRPr="000249D0">
        <w:rPr>
          <w:rFonts w:ascii="Tahoma" w:eastAsia="Times New Roman" w:hAnsi="Tahoma" w:cs="Tahoma"/>
          <w:b/>
          <w:sz w:val="16"/>
          <w:szCs w:val="16"/>
          <w:lang w:eastAsia="es-EC"/>
        </w:rPr>
        <w:t> </w:t>
      </w:r>
    </w:p>
    <w:p w:rsidR="000249D0" w:rsidRPr="00FD4013" w:rsidRDefault="000249D0" w:rsidP="000249D0">
      <w:pPr>
        <w:spacing w:after="0" w:line="240" w:lineRule="auto"/>
        <w:rPr>
          <w:rFonts w:ascii="Tahoma" w:eastAsia="Times New Roman" w:hAnsi="Tahoma" w:cs="Tahoma"/>
          <w:sz w:val="16"/>
          <w:szCs w:val="16"/>
          <w:lang w:eastAsia="es-EC"/>
        </w:rPr>
      </w:pPr>
      <w:r w:rsidRPr="00FD4013">
        <w:rPr>
          <w:rFonts w:ascii="Tahoma" w:eastAsia="Times New Roman" w:hAnsi="Tahoma" w:cs="Tahoma"/>
          <w:b/>
          <w:sz w:val="16"/>
          <w:szCs w:val="16"/>
          <w:lang w:eastAsia="es-EC"/>
        </w:rPr>
        <w:br/>
      </w:r>
      <w:r w:rsidRPr="00FD4013">
        <w:rPr>
          <w:rFonts w:ascii="Tahoma" w:eastAsia="Times New Roman" w:hAnsi="Tahoma" w:cs="Tahoma"/>
          <w:b/>
          <w:sz w:val="16"/>
          <w:szCs w:val="16"/>
          <w:shd w:val="clear" w:color="auto" w:fill="FFFFFF"/>
          <w:lang w:eastAsia="es-EC"/>
        </w:rPr>
        <w:t>Artículo 1.-</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Incluir en el cuadro y en la tabla constantes en la Resolución No. NAC-DGERCGC16-00000158, publicada en la Edición Especial No. 570 - Registro Oficial de 25 de abril de 2016, lo siguiente: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En el Cuadro de Clasificación Documental:</w:t>
      </w: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12"/>
        <w:gridCol w:w="1368"/>
        <w:gridCol w:w="798"/>
        <w:gridCol w:w="974"/>
        <w:gridCol w:w="2531"/>
        <w:gridCol w:w="1296"/>
        <w:gridCol w:w="1318"/>
      </w:tblGrid>
      <w:tr w:rsidR="000249D0" w:rsidRPr="000249D0" w:rsidTr="0023205B">
        <w:trPr>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ADMINISTRACIÓN NACIONAL Anexo 1: CUADRO GENERAL DE CLASIFICACIÓN DOCUMENTAL </w:t>
            </w:r>
          </w:p>
        </w:tc>
      </w:tr>
      <w:tr w:rsidR="00F414FB" w:rsidRPr="00F414FB"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SECCIÓN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SUB SECCIÓN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SERIE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CÓDIGO ARCHIVO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DESCRIPCIÓN SERIE DOCUMENTAL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F414F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DOCUMENTOS CONFORMATIVOS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ORIGEN DE LA DOCUMENTACIÓN </w:t>
            </w:r>
          </w:p>
        </w:tc>
      </w:tr>
      <w:tr w:rsidR="00F414FB" w:rsidRPr="00FD4013"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Dirección Nacional de Recaudación y Asistencia al Ciudadano</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Departamento de Asistencia al Ciudadano</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Archivos de voz y datos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SRI.13.01.03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Grabaciones de llamadas y respuestas no vinculantes realizadas por los contribuyentes al Cali Center y página web de la Institución.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Bases de datos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Digital</w:t>
            </w:r>
          </w:p>
        </w:tc>
      </w:tr>
      <w:tr w:rsidR="00F414FB" w:rsidRPr="00FD4013"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 </w:t>
            </w:r>
          </w:p>
        </w:tc>
      </w:tr>
      <w:tr w:rsidR="000249D0" w:rsidRPr="000249D0" w:rsidTr="0023205B">
        <w:trPr>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ESTRUCTURAS DESCONCENTRADAS Anexo 2: CUADRO GENERAL DE CLASIFICACIÓN DOCUMENTAL </w:t>
            </w:r>
          </w:p>
        </w:tc>
      </w:tr>
      <w:tr w:rsidR="00F414FB" w:rsidRPr="00F414FB"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SECCIÓN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SUB-SECCIÓN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SERIE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CÓDIGO ARCHIVO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DESCRIPCIÓN SERIE DOCUMENTAL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F414F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DOCUMENTOS CONFORMATIVOS </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b/>
                <w:sz w:val="12"/>
                <w:szCs w:val="16"/>
                <w:lang w:eastAsia="es-EC"/>
              </w:rPr>
            </w:pPr>
            <w:r w:rsidRPr="00FD4013">
              <w:rPr>
                <w:rFonts w:ascii="Tahoma" w:eastAsia="Times New Roman" w:hAnsi="Tahoma" w:cs="Tahoma"/>
                <w:b/>
                <w:sz w:val="12"/>
                <w:szCs w:val="16"/>
                <w:lang w:eastAsia="es-EC"/>
              </w:rPr>
              <w:t>ORIGEN DÉLA DOCUMENTACIÓN </w:t>
            </w:r>
          </w:p>
        </w:tc>
      </w:tr>
      <w:tr w:rsidR="00F414FB" w:rsidRPr="00FD4013" w:rsidTr="0023205B">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Dirección Zonal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Departamento de Asistencia al Ciudadano</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Archivos de voz y datos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SRI.13.01.03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Grabaciones de llamadas y respuestas no vinculantes realizadas por los contribuyentes al Cali Center y página web de la Institución.</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Bases de datos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23205B">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Digital</w:t>
            </w:r>
          </w:p>
        </w:tc>
      </w:tr>
    </w:tbl>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t>En la Tabla de Plazos de Conservación:</w:t>
      </w:r>
    </w:p>
    <w:p w:rsidR="000249D0" w:rsidRPr="00FD4013" w:rsidRDefault="000249D0" w:rsidP="000249D0">
      <w:pPr>
        <w:shd w:val="clear" w:color="auto" w:fill="FFFFFF"/>
        <w:spacing w:after="0" w:line="240" w:lineRule="auto"/>
        <w:jc w:val="center"/>
        <w:rPr>
          <w:rFonts w:ascii="Tahoma" w:eastAsia="Times New Roman" w:hAnsi="Tahoma" w:cs="Tahoma"/>
          <w:sz w:val="16"/>
          <w:szCs w:val="16"/>
          <w:lang w:eastAsia="es-EC"/>
        </w:rPr>
      </w:pPr>
      <w:r w:rsidRPr="00FD4013">
        <w:rPr>
          <w:rFonts w:ascii="Tahoma" w:eastAsia="Times New Roman" w:hAnsi="Tahoma" w:cs="Tahoma"/>
          <w:noProof/>
          <w:sz w:val="16"/>
          <w:szCs w:val="16"/>
          <w:lang w:val="es-EC" w:eastAsia="es-EC"/>
        </w:rPr>
        <w:drawing>
          <wp:inline distT="0" distB="0" distL="0" distR="0" wp14:anchorId="335B8AA5" wp14:editId="59E2B52E">
            <wp:extent cx="5520906" cy="2680574"/>
            <wp:effectExtent l="0" t="0" r="3810" b="5715"/>
            <wp:docPr id="2" name="Imagen 2" descr="http://www.fielweb.com/App_Themes/Infobases/ImagenesGeneral/img02032017170939_127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ielweb.com/App_Themes/Infobases/ImagenesGeneral/img02032017170939_1276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1037" cy="2680638"/>
                    </a:xfrm>
                    <a:prstGeom prst="rect">
                      <a:avLst/>
                    </a:prstGeom>
                    <a:noFill/>
                    <a:ln>
                      <a:noFill/>
                    </a:ln>
                  </pic:spPr>
                </pic:pic>
              </a:graphicData>
            </a:graphic>
          </wp:inline>
        </w:drawing>
      </w:r>
    </w:p>
    <w:p w:rsidR="000249D0" w:rsidRPr="00FD4013" w:rsidRDefault="000249D0" w:rsidP="000249D0">
      <w:pPr>
        <w:shd w:val="clear" w:color="auto" w:fill="FFFFFF"/>
        <w:spacing w:after="0" w:line="240" w:lineRule="auto"/>
        <w:jc w:val="center"/>
        <w:rPr>
          <w:rFonts w:ascii="Tahoma" w:eastAsia="Times New Roman" w:hAnsi="Tahoma" w:cs="Tahoma"/>
          <w:sz w:val="16"/>
          <w:szCs w:val="16"/>
          <w:lang w:eastAsia="es-EC"/>
        </w:rPr>
      </w:pPr>
      <w:r w:rsidRPr="00FD4013">
        <w:rPr>
          <w:rFonts w:ascii="Tahoma" w:eastAsia="Times New Roman" w:hAnsi="Tahoma" w:cs="Tahoma"/>
          <w:noProof/>
          <w:sz w:val="16"/>
          <w:szCs w:val="16"/>
          <w:lang w:val="es-EC" w:eastAsia="es-EC"/>
        </w:rPr>
        <w:lastRenderedPageBreak/>
        <w:drawing>
          <wp:inline distT="0" distB="0" distL="0" distR="0" wp14:anchorId="694D8C5C" wp14:editId="5F0E9FC7">
            <wp:extent cx="4960189" cy="2216710"/>
            <wp:effectExtent l="0" t="0" r="0" b="0"/>
            <wp:docPr id="1" name="Imagen 1" descr="http://www.fielweb.com/App_Themes/Infobases/ImagenesGeneral/img02032017170939_7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ielweb.com/App_Themes/Infobases/ImagenesGeneral/img02032017170939_704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0295" cy="2216757"/>
                    </a:xfrm>
                    <a:prstGeom prst="rect">
                      <a:avLst/>
                    </a:prstGeom>
                    <a:noFill/>
                    <a:ln>
                      <a:noFill/>
                    </a:ln>
                  </pic:spPr>
                </pic:pic>
              </a:graphicData>
            </a:graphic>
          </wp:inline>
        </w:drawing>
      </w: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br/>
      </w:r>
      <w:r w:rsidRPr="00FD4013">
        <w:rPr>
          <w:rFonts w:ascii="Tahoma" w:eastAsia="Times New Roman" w:hAnsi="Tahoma" w:cs="Tahoma"/>
          <w:b/>
          <w:sz w:val="16"/>
          <w:szCs w:val="16"/>
          <w:lang w:eastAsia="es-EC"/>
        </w:rPr>
        <w:t>Artículo 2.-</w:t>
      </w:r>
      <w:r w:rsidRPr="00FD4013">
        <w:rPr>
          <w:rFonts w:ascii="Tahoma" w:eastAsia="Times New Roman" w:hAnsi="Tahoma" w:cs="Tahoma"/>
          <w:sz w:val="16"/>
          <w:szCs w:val="16"/>
          <w:lang w:eastAsia="es-EC"/>
        </w:rPr>
        <w:t> La presente resolución entrará en vigencia a partir de su publicación en el Registro Oficial.</w:t>
      </w: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0249D0" w:rsidRDefault="000249D0" w:rsidP="000249D0">
      <w:pPr>
        <w:pStyle w:val="Prrafodelista"/>
        <w:numPr>
          <w:ilvl w:val="0"/>
          <w:numId w:val="23"/>
        </w:numPr>
        <w:shd w:val="clear" w:color="auto" w:fill="FFFFFF"/>
        <w:spacing w:after="0" w:line="240" w:lineRule="auto"/>
        <w:jc w:val="both"/>
        <w:rPr>
          <w:rFonts w:ascii="Tahoma" w:hAnsi="Tahoma" w:cs="Tahoma"/>
          <w:color w:val="006666"/>
          <w:sz w:val="20"/>
        </w:rPr>
      </w:pPr>
      <w:r>
        <w:rPr>
          <w:rFonts w:ascii="Tahoma" w:hAnsi="Tahoma" w:cs="Tahoma"/>
          <w:b/>
          <w:color w:val="006666"/>
          <w:sz w:val="20"/>
        </w:rPr>
        <w:t xml:space="preserve">Resolución </w:t>
      </w:r>
      <w:hyperlink r:id="rId14" w:history="1">
        <w:r w:rsidRPr="000249D0">
          <w:rPr>
            <w:rFonts w:ascii="Tahoma" w:hAnsi="Tahoma" w:cs="Tahoma"/>
            <w:b/>
            <w:color w:val="006666"/>
            <w:sz w:val="20"/>
          </w:rPr>
          <w:t>NAC-DGERCGC17-00000121</w:t>
        </w:r>
      </w:hyperlink>
      <w:r w:rsidRPr="00FD4013">
        <w:rPr>
          <w:rFonts w:ascii="Tahoma" w:hAnsi="Tahoma" w:cs="Tahoma"/>
          <w:b/>
          <w:color w:val="006666"/>
          <w:sz w:val="20"/>
        </w:rPr>
        <w:t xml:space="preserve">: </w:t>
      </w:r>
      <w:r w:rsidRPr="00FD4013">
        <w:rPr>
          <w:rFonts w:ascii="Tahoma" w:hAnsi="Tahoma" w:cs="Tahoma"/>
          <w:color w:val="006666"/>
          <w:sz w:val="20"/>
        </w:rPr>
        <w:t>Establécese el tipo impositivo efectivo (TIE) promedio de los contribuyentes del ejercicio fiscal 2016 y fíjense las condiciones, procedimientos y control para la devolución del excedente del anticipo del impuesto a la renta pagado con cargo al ejercicio fiscal 2016.</w:t>
      </w:r>
    </w:p>
    <w:p w:rsidR="000249D0" w:rsidRDefault="000249D0" w:rsidP="000249D0">
      <w:pPr>
        <w:shd w:val="clear" w:color="auto" w:fill="FFFFFF"/>
        <w:spacing w:after="0" w:line="240" w:lineRule="auto"/>
        <w:jc w:val="center"/>
        <w:rPr>
          <w:rFonts w:ascii="Tahoma" w:eastAsia="Times New Roman" w:hAnsi="Tahoma" w:cs="Tahoma"/>
          <w:b/>
          <w:sz w:val="16"/>
          <w:szCs w:val="16"/>
          <w:shd w:val="clear" w:color="auto" w:fill="FFFFFF"/>
          <w:lang w:eastAsia="es-EC"/>
        </w:rPr>
      </w:pP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bookmarkStart w:id="1" w:name="NAC-DGERCGC17-00000121(953s-17)"/>
      <w:bookmarkEnd w:id="1"/>
      <w:r w:rsidRPr="00FD4013">
        <w:rPr>
          <w:rFonts w:ascii="Tahoma" w:eastAsia="Times New Roman" w:hAnsi="Tahoma" w:cs="Tahoma"/>
          <w:b/>
          <w:sz w:val="16"/>
          <w:szCs w:val="16"/>
          <w:shd w:val="clear" w:color="auto" w:fill="FFFFFF"/>
          <w:lang w:eastAsia="es-EC"/>
        </w:rPr>
        <w:t>Resuelve:</w:t>
      </w:r>
    </w:p>
    <w:p w:rsidR="000249D0" w:rsidRPr="00FD4013" w:rsidRDefault="000249D0" w:rsidP="000249D0">
      <w:pPr>
        <w:shd w:val="clear" w:color="auto" w:fill="FFFFFF"/>
        <w:spacing w:after="0" w:line="240" w:lineRule="auto"/>
        <w:rPr>
          <w:rFonts w:ascii="Tahoma" w:eastAsia="Times New Roman" w:hAnsi="Tahoma" w:cs="Tahoma"/>
          <w:sz w:val="16"/>
          <w:szCs w:val="16"/>
          <w:shd w:val="clear" w:color="auto" w:fill="FFFFFF"/>
          <w:lang w:eastAsia="es-EC"/>
        </w:rPr>
      </w:pP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1.- Ámbito de aplicación.-</w:t>
      </w:r>
      <w:r w:rsidRPr="00FD4013">
        <w:rPr>
          <w:rFonts w:ascii="Tahoma" w:eastAsia="Times New Roman" w:hAnsi="Tahoma" w:cs="Tahoma"/>
          <w:sz w:val="16"/>
          <w:szCs w:val="16"/>
          <w:shd w:val="clear" w:color="auto" w:fill="FFFFFF"/>
          <w:lang w:eastAsia="es-EC"/>
        </w:rPr>
        <w:t> Se establece el tipo impositivo efectivo (TIE) promedio de los contribuyentes del ejercicio fiscal 2016 y las normas que regulen los límites, condiciones, mecanismos, procedimiento y control posterior para la devolución del excedente del anticipo del impuesto a la renta pagado con cargo al ejercicio fiscal 2016, conforme lo establecido en el literal i) del numeral 2 del artículo 41 de la Ley de Régimen Tributario Interno.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2.-Tipo impositivo efectivo promedio de los contribuyentes.-</w:t>
      </w:r>
      <w:r w:rsidRPr="00FD4013">
        <w:rPr>
          <w:rFonts w:ascii="Tahoma" w:eastAsia="Times New Roman" w:hAnsi="Tahoma" w:cs="Tahoma"/>
          <w:sz w:val="16"/>
          <w:szCs w:val="16"/>
          <w:shd w:val="clear" w:color="auto" w:fill="FFFFFF"/>
          <w:lang w:eastAsia="es-EC"/>
        </w:rPr>
        <w:t> Para establecer el tipo impositivo efectivo (TIE) promedio de los contribuyentes sociedades; y, personas naturales y sucesiones indivisas, obligadas a llevar contabilidad, la Administración Tributaria observará las siguientes reglas:</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1. Tipo impositivo efectivo individual.- Corresponde al mayor valor entre el impuesto a la renta causado y el anticipo determinado, dividido para el ingreso del contribuyente.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2. Ingreso. - El ingreso a considerar para el cálculo del TIE será el que corresponda a la casilla denominada </w:t>
      </w:r>
      <w:r w:rsidRPr="00FD4013">
        <w:rPr>
          <w:rFonts w:ascii="Tahoma" w:eastAsia="Times New Roman" w:hAnsi="Tahoma" w:cs="Tahoma"/>
          <w:i/>
          <w:iCs/>
          <w:sz w:val="16"/>
          <w:szCs w:val="16"/>
          <w:shd w:val="clear" w:color="auto" w:fill="FFFFFF"/>
          <w:lang w:eastAsia="es-EC"/>
        </w:rPr>
        <w:t>"Total Ingresos", </w:t>
      </w:r>
      <w:r w:rsidRPr="00FD4013">
        <w:rPr>
          <w:rFonts w:ascii="Tahoma" w:eastAsia="Times New Roman" w:hAnsi="Tahoma" w:cs="Tahoma"/>
          <w:sz w:val="16"/>
          <w:szCs w:val="16"/>
          <w:shd w:val="clear" w:color="auto" w:fill="FFFFFF"/>
          <w:lang w:eastAsia="es-EC"/>
        </w:rPr>
        <w:t>de la respectiva declaración de impuesto a la renta del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3. Tipo impositivo efectivo promedio de los contribuyentes.- Corresponde a la suma de todos los tipos impositivos efectivos individuales, dividida para el total de contribuyentes sociedades; y, personas naturales y sucesiones indivisas, obligadas a llevar contabilidad, según corresponda.</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3.- TIE aplicable al ejercicio fiscal 2016.-</w:t>
      </w:r>
      <w:r w:rsidRPr="00FD4013">
        <w:rPr>
          <w:rFonts w:ascii="Tahoma" w:eastAsia="Times New Roman" w:hAnsi="Tahoma" w:cs="Tahoma"/>
          <w:sz w:val="16"/>
          <w:szCs w:val="16"/>
          <w:shd w:val="clear" w:color="auto" w:fill="FFFFFF"/>
          <w:lang w:eastAsia="es-EC"/>
        </w:rPr>
        <w:t> El tipo impositivo efectivo promedio de los contribuyentes aplicable al período fiscal 2016 es el siguiente: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a) En el caso de sociedades: 1,7%.</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b) En el caso de personas naturales y sucesiones indivisas, obligadas a llevar contabilidad: 1,2%.</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4.- Aplicación del TIE promedio de los contribuyentes en la devolución del excedente del anticipo de impuesto a la renta.-</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Para la devolución del excedente del anticipo de impuesto a la renta pagado con cargo al ejercicio fiscal 2016, los contribuyentes deberán realizar lo siguiente: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1. Verificar que el anticipo pagado con cargo al ejercicio fiscal 2016 sea mayor al impuesto causado del mismo ejercicio fiscal;</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2. Calcular su TIE individual, que será el resultado de dividir el anticipo pagado con cargo al ejercicio fiscal 2016 para el monto que corresponda a la casilla denominada </w:t>
      </w:r>
      <w:r w:rsidRPr="00FD4013">
        <w:rPr>
          <w:rFonts w:ascii="Tahoma" w:eastAsia="Times New Roman" w:hAnsi="Tahoma" w:cs="Tahoma"/>
          <w:i/>
          <w:iCs/>
          <w:sz w:val="16"/>
          <w:szCs w:val="16"/>
          <w:shd w:val="clear" w:color="auto" w:fill="FFFFFF"/>
          <w:lang w:eastAsia="es-EC"/>
        </w:rPr>
        <w:t>"Total Ingresos", </w:t>
      </w:r>
      <w:r w:rsidRPr="00FD4013">
        <w:rPr>
          <w:rFonts w:ascii="Tahoma" w:eastAsia="Times New Roman" w:hAnsi="Tahoma" w:cs="Tahoma"/>
          <w:sz w:val="16"/>
          <w:szCs w:val="16"/>
          <w:shd w:val="clear" w:color="auto" w:fill="FFFFFF"/>
          <w:lang w:eastAsia="es-EC"/>
        </w:rPr>
        <w:t>de la respectiva declaración de impuesto a la renta del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3. Comparar su TIE individual con el TIE correspondiente al tipo de contribuyente, según sea el caso, establecido en el artículo anterior; y,</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lastRenderedPageBreak/>
        <w:t>4. En caso de que el TIE individual mencionado en el numeral 2 de este artículo, sea mayor al TIE promedio de los contribuyentes, la diferencia entre ambos deberá multiplicarse por el monto que corresponda a la casilla denominada</w:t>
      </w:r>
      <w:r w:rsidR="00F414FB">
        <w:rPr>
          <w:rFonts w:ascii="Tahoma" w:eastAsia="Times New Roman" w:hAnsi="Tahoma" w:cs="Tahoma"/>
          <w:sz w:val="16"/>
          <w:szCs w:val="16"/>
          <w:shd w:val="clear" w:color="auto" w:fill="FFFFFF"/>
          <w:lang w:eastAsia="es-EC"/>
        </w:rPr>
        <w:t xml:space="preserve"> </w:t>
      </w:r>
      <w:r w:rsidRPr="00FD4013">
        <w:rPr>
          <w:rFonts w:ascii="Tahoma" w:eastAsia="Times New Roman" w:hAnsi="Tahoma" w:cs="Tahoma"/>
          <w:i/>
          <w:iCs/>
          <w:sz w:val="16"/>
          <w:szCs w:val="16"/>
          <w:shd w:val="clear" w:color="auto" w:fill="FFFFFF"/>
          <w:lang w:eastAsia="es-EC"/>
        </w:rPr>
        <w:t>"Total Ingresos ", </w:t>
      </w:r>
      <w:r w:rsidRPr="00FD4013">
        <w:rPr>
          <w:rFonts w:ascii="Tahoma" w:eastAsia="Times New Roman" w:hAnsi="Tahoma" w:cs="Tahoma"/>
          <w:sz w:val="16"/>
          <w:szCs w:val="16"/>
          <w:shd w:val="clear" w:color="auto" w:fill="FFFFFF"/>
          <w:lang w:eastAsia="es-EC"/>
        </w:rPr>
        <w:t>de la respectiva declaración de impuesto a la renta del ejercicio fiscal 2016. Este resultado será el monto máximo sobre el cual se aplicará la devolución, sin embargo, en ningún caso el valor objeto a devolución de anticipo de impuesto a la renta previsto en esta Resolución, podrá ser mayor a la diferencia entre el anticipo pagado y el impuesto causado.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5.- Devolución.-</w:t>
      </w:r>
      <w:r w:rsidRPr="00FD4013">
        <w:rPr>
          <w:rFonts w:ascii="Tahoma" w:eastAsia="Times New Roman" w:hAnsi="Tahoma" w:cs="Tahoma"/>
          <w:sz w:val="16"/>
          <w:szCs w:val="16"/>
          <w:shd w:val="clear" w:color="auto" w:fill="FFFFFF"/>
          <w:lang w:eastAsia="es-EC"/>
        </w:rPr>
        <w:t> El derecho a la devolución del excedente del anticipo de impuesto a la renta pagado con cargo al ejercicio fiscal 2016 se lo ejercerá a través de la presentación de la respectiva solicitud por parte del sujeto pasivo beneficiario.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6.- Requisitos.-</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El contribuyente que solicite la devolución del excedente del anticipo de impuesto a la renta deberá cumplir con lo siguiente:</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1. Haber presentado la declaración de impuesto a la renta correspondiente al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2. Presentar su solicitud de devolución ante cualquiera de las oficinas del SRI a nivel nacional, para lo cual esta Administración Tributaria publicará en el portal web institucional </w:t>
      </w:r>
      <w:r w:rsidR="00F414FB">
        <w:rPr>
          <w:rFonts w:ascii="Tahoma" w:eastAsia="Times New Roman" w:hAnsi="Tahoma" w:cs="Tahoma"/>
          <w:sz w:val="16"/>
          <w:szCs w:val="16"/>
          <w:u w:val="single"/>
          <w:shd w:val="clear" w:color="auto" w:fill="FFFFFF"/>
          <w:lang w:eastAsia="es-EC"/>
        </w:rPr>
        <w:t>www.sri.gob.ec</w:t>
      </w:r>
      <w:r w:rsidRPr="00FD4013">
        <w:rPr>
          <w:rFonts w:ascii="Tahoma" w:eastAsia="Times New Roman" w:hAnsi="Tahoma" w:cs="Tahoma"/>
          <w:sz w:val="16"/>
          <w:szCs w:val="16"/>
          <w:u w:val="single"/>
          <w:shd w:val="clear" w:color="auto" w:fill="FFFFFF"/>
          <w:lang w:eastAsia="es-EC"/>
        </w:rPr>
        <w:t>,</w:t>
      </w:r>
      <w:r w:rsidRPr="00FD4013">
        <w:rPr>
          <w:rFonts w:ascii="Tahoma" w:eastAsia="Times New Roman" w:hAnsi="Tahoma" w:cs="Tahoma"/>
          <w:sz w:val="16"/>
          <w:szCs w:val="16"/>
          <w:shd w:val="clear" w:color="auto" w:fill="FFFFFF"/>
          <w:lang w:eastAsia="es-EC"/>
        </w:rPr>
        <w:t> los respectivos formatos para el efecto.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Artículo 7.- Registro contable.-</w:t>
      </w:r>
      <w:r w:rsidRPr="00FD4013">
        <w:rPr>
          <w:rFonts w:ascii="Tahoma" w:eastAsia="Times New Roman" w:hAnsi="Tahoma" w:cs="Tahoma"/>
          <w:sz w:val="16"/>
          <w:szCs w:val="16"/>
          <w:shd w:val="clear" w:color="auto" w:fill="FFFFFF"/>
          <w:lang w:eastAsia="es-EC"/>
        </w:rPr>
        <w:t> El beneficio generado por este excedente susceptible de ser recuperado vía devolución, deberá ser registrado en la cuenta respectiva, de acuerdo a la naturaleza del activo.</w:t>
      </w:r>
      <w:r w:rsidRPr="00FD4013">
        <w:rPr>
          <w:rFonts w:ascii="Tahoma" w:eastAsia="Times New Roman" w:hAnsi="Tahoma" w:cs="Tahoma"/>
          <w:sz w:val="16"/>
          <w:szCs w:val="16"/>
          <w:shd w:val="clear" w:color="auto" w:fill="FFFFFF"/>
          <w:lang w:eastAsia="es-EC"/>
        </w:rPr>
        <w:br/>
      </w:r>
    </w:p>
    <w:p w:rsidR="000249D0" w:rsidRPr="00FD4013" w:rsidRDefault="000249D0" w:rsidP="000249D0">
      <w:pPr>
        <w:spacing w:after="0" w:line="240" w:lineRule="auto"/>
        <w:rPr>
          <w:rFonts w:ascii="Tahoma" w:eastAsia="Times New Roman" w:hAnsi="Tahoma" w:cs="Tahoma"/>
          <w:b/>
          <w:sz w:val="16"/>
          <w:szCs w:val="16"/>
          <w:shd w:val="clear" w:color="auto" w:fill="FFFFFF"/>
          <w:lang w:eastAsia="es-EC"/>
        </w:rPr>
      </w:pPr>
      <w:r w:rsidRPr="00FD4013">
        <w:rPr>
          <w:rFonts w:ascii="Tahoma" w:eastAsia="Times New Roman" w:hAnsi="Tahoma" w:cs="Tahoma"/>
          <w:b/>
          <w:sz w:val="16"/>
          <w:szCs w:val="16"/>
          <w:shd w:val="clear" w:color="auto" w:fill="FFFFFF"/>
          <w:lang w:eastAsia="es-EC"/>
        </w:rPr>
        <w:t>DISPOSICIONES GENERALES</w:t>
      </w:r>
      <w:r w:rsidRPr="000249D0">
        <w:rPr>
          <w:rFonts w:ascii="Tahoma" w:eastAsia="Times New Roman" w:hAnsi="Tahoma" w:cs="Tahoma"/>
          <w:b/>
          <w:sz w:val="16"/>
          <w:szCs w:val="16"/>
          <w:shd w:val="clear" w:color="auto" w:fill="FFFFFF"/>
          <w:lang w:eastAsia="es-EC"/>
        </w:rPr>
        <w:t> </w:t>
      </w:r>
    </w:p>
    <w:p w:rsidR="000249D0" w:rsidRPr="00FD4013" w:rsidRDefault="000249D0" w:rsidP="000249D0">
      <w:pPr>
        <w:spacing w:after="0" w:line="240" w:lineRule="auto"/>
        <w:rPr>
          <w:rFonts w:ascii="Tahoma" w:eastAsia="Times New Roman" w:hAnsi="Tahoma" w:cs="Tahoma"/>
          <w:sz w:val="16"/>
          <w:szCs w:val="16"/>
          <w:shd w:val="clear" w:color="auto" w:fill="FFFFFF"/>
          <w:lang w:eastAsia="es-EC"/>
        </w:rPr>
      </w:pPr>
      <w:r w:rsidRPr="00FD4013">
        <w:rPr>
          <w:rFonts w:ascii="Tahoma" w:eastAsia="Times New Roman" w:hAnsi="Tahoma" w:cs="Tahoma"/>
          <w:b/>
          <w:sz w:val="16"/>
          <w:szCs w:val="16"/>
          <w:shd w:val="clear" w:color="auto" w:fill="FFFFFF"/>
          <w:lang w:eastAsia="es-EC"/>
        </w:rPr>
        <w:br/>
        <w:t>Primera.-</w:t>
      </w:r>
      <w:r w:rsidRPr="00FD4013">
        <w:rPr>
          <w:rFonts w:ascii="Tahoma" w:eastAsia="Times New Roman" w:hAnsi="Tahoma" w:cs="Tahoma"/>
          <w:sz w:val="16"/>
          <w:szCs w:val="16"/>
          <w:shd w:val="clear" w:color="auto" w:fill="FFFFFF"/>
          <w:lang w:eastAsia="es-EC"/>
        </w:rPr>
        <w:t> Cuando el Servicio de Rentas Internas ejerza su facultad determinadora y como resultado de esta se establezcan hechos que afecten el monto de devolución del excedente del anticipo de impuesto a la renta pagado con cargo al ejercicio fiscal 2016 al que hayan accedido los sujetos pasivos, en el mismo acto de determinación se establecerán los mecanismos de restitución o pago de los respectivos valores, según corresponda.</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Segunda.-</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El Servicio de Rentas Internas, en ejercicio de sus facultades legalmente establecidas, podrá efectuar las acciones de control posterior que correspondan, para verificar la adecuada aplicación de esta Resolución, así como de los valores materia de devolución.</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Tercera.-</w:t>
      </w:r>
      <w:r w:rsidRPr="00FD4013">
        <w:rPr>
          <w:rFonts w:ascii="Tahoma" w:eastAsia="Times New Roman" w:hAnsi="Tahoma" w:cs="Tahoma"/>
          <w:sz w:val="16"/>
          <w:szCs w:val="16"/>
          <w:shd w:val="clear" w:color="auto" w:fill="FFFFFF"/>
          <w:lang w:eastAsia="es-EC"/>
        </w:rPr>
        <w:t> Las unidades administrativas del Servicio de Rentas Internas deberán observar las disposiciones de la presente Resolución, en todos sus procesos de control.</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b/>
          <w:sz w:val="16"/>
          <w:szCs w:val="16"/>
          <w:shd w:val="clear" w:color="auto" w:fill="FFFFFF"/>
          <w:lang w:eastAsia="es-EC"/>
        </w:rPr>
        <w:t>Cuarta.-</w:t>
      </w:r>
      <w:r w:rsidRPr="00FD4013">
        <w:rPr>
          <w:rFonts w:ascii="Tahoma" w:eastAsia="Times New Roman" w:hAnsi="Tahoma" w:cs="Tahoma"/>
          <w:sz w:val="16"/>
          <w:szCs w:val="16"/>
          <w:shd w:val="clear" w:color="auto" w:fill="FFFFFF"/>
          <w:lang w:eastAsia="es-EC"/>
        </w:rPr>
        <w:t> Se exceptúan del ámbito de la presente Resolución a las instituciones financieras privadas y compañías emisoras y administradoras de tarjetas de crédito sujetas al control de la Superintendencia de Bancos, quienes están sujetas al régimen especial para el pago de anticipo de impuesto a la renta, previsto en el literal n) del numeral 2 del artículo 41 de la Ley de Régimen Tributario Interno.</w:t>
      </w:r>
      <w:r w:rsidRPr="00FD4013">
        <w:rPr>
          <w:rFonts w:ascii="Tahoma" w:eastAsia="Times New Roman" w:hAnsi="Tahoma" w:cs="Tahoma"/>
          <w:sz w:val="16"/>
          <w:szCs w:val="16"/>
          <w:shd w:val="clear" w:color="auto" w:fill="FFFFFF"/>
          <w:lang w:eastAsia="es-EC"/>
        </w:rPr>
        <w:br/>
      </w:r>
    </w:p>
    <w:p w:rsidR="000249D0" w:rsidRPr="00FD4013" w:rsidRDefault="000249D0" w:rsidP="000249D0">
      <w:pPr>
        <w:spacing w:after="0" w:line="240" w:lineRule="auto"/>
        <w:rPr>
          <w:rFonts w:ascii="Tahoma" w:eastAsia="Times New Roman" w:hAnsi="Tahoma" w:cs="Tahoma"/>
          <w:b/>
          <w:sz w:val="16"/>
          <w:szCs w:val="16"/>
          <w:shd w:val="clear" w:color="auto" w:fill="FFFFFF"/>
          <w:lang w:eastAsia="es-EC"/>
        </w:rPr>
      </w:pPr>
      <w:r w:rsidRPr="00FD4013">
        <w:rPr>
          <w:rFonts w:ascii="Tahoma" w:eastAsia="Times New Roman" w:hAnsi="Tahoma" w:cs="Tahoma"/>
          <w:b/>
          <w:sz w:val="16"/>
          <w:szCs w:val="16"/>
          <w:shd w:val="clear" w:color="auto" w:fill="FFFFFF"/>
          <w:lang w:eastAsia="es-EC"/>
        </w:rPr>
        <w:t>DISPOSICIONES TRANSITORIAS</w:t>
      </w:r>
      <w:r w:rsidRPr="000249D0">
        <w:rPr>
          <w:rFonts w:ascii="Tahoma" w:eastAsia="Times New Roman" w:hAnsi="Tahoma" w:cs="Tahoma"/>
          <w:b/>
          <w:sz w:val="16"/>
          <w:szCs w:val="16"/>
          <w:shd w:val="clear" w:color="auto" w:fill="FFFFFF"/>
          <w:lang w:eastAsia="es-EC"/>
        </w:rPr>
        <w:t> </w:t>
      </w:r>
    </w:p>
    <w:p w:rsidR="000249D0" w:rsidRDefault="000249D0" w:rsidP="000249D0">
      <w:pPr>
        <w:spacing w:after="0" w:line="240" w:lineRule="auto"/>
        <w:rPr>
          <w:rFonts w:ascii="Tahoma" w:eastAsia="Times New Roman" w:hAnsi="Tahoma" w:cs="Tahoma"/>
          <w:sz w:val="16"/>
          <w:szCs w:val="16"/>
          <w:shd w:val="clear" w:color="auto" w:fill="FFFFFF"/>
          <w:lang w:eastAsia="es-EC"/>
        </w:rPr>
      </w:pPr>
      <w:r w:rsidRPr="000249D0">
        <w:rPr>
          <w:rFonts w:ascii="Tahoma" w:eastAsia="Times New Roman" w:hAnsi="Tahoma" w:cs="Tahoma"/>
          <w:b/>
          <w:sz w:val="16"/>
          <w:szCs w:val="16"/>
          <w:shd w:val="clear" w:color="auto" w:fill="FFFFFF"/>
          <w:lang w:eastAsia="es-EC"/>
        </w:rPr>
        <w:br/>
        <w:t>Única.-</w:t>
      </w:r>
      <w:r w:rsidRPr="00FD4013">
        <w:rPr>
          <w:rFonts w:ascii="Tahoma" w:eastAsia="Times New Roman" w:hAnsi="Tahoma" w:cs="Tahoma"/>
          <w:sz w:val="16"/>
          <w:szCs w:val="16"/>
          <w:shd w:val="clear" w:color="auto" w:fill="FFFFFF"/>
          <w:lang w:eastAsia="es-EC"/>
        </w:rPr>
        <w:t> Para el cálculo del "tipo impositivo efectivo promedio de los contribuyentes" señalado en el numeral 3 del artículo 2 de esta Resolución, no se considera a las microempresas, toda vez que las mismas, a partir del ejercicio fiscal 2017, para efectos del cálculo del anticipo de impuesto a la renta, deben observar lo señalado en el literal a) del numeral 2 del artículo 41 de la Ley de Régimen Tributario Interno.</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t>Sin perjuicio de lo dispuesto en el inciso anterior, se aclara que las microempresas podrán acceder a la devolución regulada por este acto normativo exclusivamente respecto del excedente del anticipo de impuesto a la renta pagado con cargo al ejercicio fiscal 2016.</w:t>
      </w:r>
      <w:r w:rsidRPr="00FD4013">
        <w:rPr>
          <w:rFonts w:ascii="Tahoma" w:eastAsia="Times New Roman" w:hAnsi="Tahoma" w:cs="Tahoma"/>
          <w:sz w:val="16"/>
          <w:szCs w:val="16"/>
          <w:shd w:val="clear" w:color="auto" w:fill="FFFFFF"/>
          <w:lang w:eastAsia="es-EC"/>
        </w:rPr>
        <w:br/>
      </w:r>
      <w:r w:rsidRPr="00FD4013">
        <w:rPr>
          <w:rFonts w:ascii="Tahoma" w:eastAsia="Times New Roman" w:hAnsi="Tahoma" w:cs="Tahoma"/>
          <w:sz w:val="16"/>
          <w:szCs w:val="16"/>
          <w:shd w:val="clear" w:color="auto" w:fill="FFFFFF"/>
          <w:lang w:eastAsia="es-EC"/>
        </w:rPr>
        <w:br/>
      </w:r>
      <w:r w:rsidRPr="000249D0">
        <w:rPr>
          <w:rFonts w:ascii="Tahoma" w:eastAsia="Times New Roman" w:hAnsi="Tahoma" w:cs="Tahoma"/>
          <w:b/>
          <w:sz w:val="16"/>
          <w:szCs w:val="16"/>
          <w:shd w:val="clear" w:color="auto" w:fill="FFFFFF"/>
          <w:lang w:eastAsia="es-EC"/>
        </w:rPr>
        <w:t>DISPOSICIÓN FINAL.-</w:t>
      </w:r>
      <w:r w:rsidRPr="00FD4013">
        <w:rPr>
          <w:rFonts w:ascii="Tahoma" w:eastAsia="Times New Roman" w:hAnsi="Tahoma" w:cs="Tahoma"/>
          <w:sz w:val="16"/>
          <w:szCs w:val="16"/>
          <w:shd w:val="clear" w:color="auto" w:fill="FFFFFF"/>
          <w:lang w:eastAsia="es-EC"/>
        </w:rPr>
        <w:t> La presente Resolución entrará en vigencia a partir de su publicación en el Registro Oficial.</w:t>
      </w:r>
    </w:p>
    <w:p w:rsidR="00E67BF8" w:rsidRDefault="00E67BF8" w:rsidP="000249D0">
      <w:pPr>
        <w:spacing w:after="0" w:line="240" w:lineRule="auto"/>
        <w:rPr>
          <w:rFonts w:ascii="Tahoma" w:eastAsia="Times New Roman" w:hAnsi="Tahoma" w:cs="Tahoma"/>
          <w:sz w:val="16"/>
          <w:szCs w:val="16"/>
          <w:shd w:val="clear" w:color="auto" w:fill="FFFFFF"/>
          <w:lang w:eastAsia="es-EC"/>
        </w:rPr>
      </w:pPr>
    </w:p>
    <w:p w:rsidR="00E67BF8" w:rsidRPr="00FD4013" w:rsidRDefault="00E67BF8" w:rsidP="000249D0">
      <w:pPr>
        <w:spacing w:after="0" w:line="240" w:lineRule="auto"/>
        <w:rPr>
          <w:rFonts w:ascii="Tahoma" w:eastAsia="Times New Roman" w:hAnsi="Tahoma" w:cs="Tahoma"/>
          <w:sz w:val="16"/>
          <w:szCs w:val="16"/>
          <w:shd w:val="clear" w:color="auto" w:fill="FFFFFF"/>
          <w:lang w:eastAsia="es-EC"/>
        </w:rPr>
      </w:pPr>
    </w:p>
    <w:p w:rsidR="000249D0" w:rsidRDefault="0060184D" w:rsidP="000249D0">
      <w:pPr>
        <w:pStyle w:val="Prrafodelista"/>
        <w:numPr>
          <w:ilvl w:val="0"/>
          <w:numId w:val="23"/>
        </w:numPr>
        <w:shd w:val="clear" w:color="auto" w:fill="FFFFFF"/>
        <w:spacing w:after="0" w:line="240" w:lineRule="auto"/>
        <w:jc w:val="both"/>
        <w:rPr>
          <w:rFonts w:ascii="Tahoma" w:hAnsi="Tahoma" w:cs="Tahoma"/>
          <w:b/>
          <w:color w:val="006666"/>
          <w:sz w:val="20"/>
        </w:rPr>
      </w:pPr>
      <w:hyperlink r:id="rId15" w:history="1">
        <w:r w:rsidR="000249D0" w:rsidRPr="000249D0">
          <w:rPr>
            <w:rFonts w:ascii="Tahoma" w:hAnsi="Tahoma" w:cs="Tahoma"/>
            <w:b/>
            <w:color w:val="006666"/>
            <w:sz w:val="20"/>
          </w:rPr>
          <w:t>NAC-DGERCGC17-00000138</w:t>
        </w:r>
      </w:hyperlink>
      <w:r w:rsidR="000249D0" w:rsidRPr="00FD4013">
        <w:rPr>
          <w:rFonts w:ascii="Tahoma" w:hAnsi="Tahoma" w:cs="Tahoma"/>
          <w:b/>
          <w:color w:val="006666"/>
          <w:sz w:val="20"/>
        </w:rPr>
        <w:t>: Refórmese la Resolución No. NAC-DGERCGC16-00000377, publicada en el Segundo Suplemento del Registro Oficial No. 835 de 7 de septiembre de 2016, y sus reformas</w:t>
      </w:r>
    </w:p>
    <w:p w:rsidR="000249D0" w:rsidRPr="000249D0" w:rsidRDefault="000249D0" w:rsidP="000249D0">
      <w:pPr>
        <w:pStyle w:val="Prrafodelista"/>
        <w:shd w:val="clear" w:color="auto" w:fill="FFFFFF"/>
        <w:spacing w:after="0" w:line="240" w:lineRule="auto"/>
        <w:jc w:val="both"/>
        <w:rPr>
          <w:rFonts w:ascii="Tahoma" w:hAnsi="Tahoma" w:cs="Tahoma"/>
          <w:b/>
          <w:color w:val="006666"/>
          <w:sz w:val="20"/>
        </w:rPr>
      </w:pP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Resuelve:</w:t>
      </w:r>
      <w:r w:rsidRPr="000249D0">
        <w:rPr>
          <w:rFonts w:ascii="Tahoma" w:eastAsia="Times New Roman" w:hAnsi="Tahoma" w:cs="Tahoma"/>
          <w:b/>
          <w:sz w:val="16"/>
          <w:szCs w:val="16"/>
          <w:lang w:eastAsia="es-EC"/>
        </w:rPr>
        <w:t> </w:t>
      </w:r>
    </w:p>
    <w:p w:rsidR="000249D0" w:rsidRDefault="000249D0" w:rsidP="000249D0">
      <w:pPr>
        <w:spacing w:after="0" w:line="240" w:lineRule="auto"/>
        <w:rPr>
          <w:rFonts w:ascii="Tahoma" w:eastAsia="Times New Roman" w:hAnsi="Tahoma" w:cs="Tahoma"/>
          <w:sz w:val="16"/>
          <w:szCs w:val="16"/>
          <w:shd w:val="clear" w:color="auto" w:fill="FFFFFF"/>
          <w:lang w:eastAsia="es-EC"/>
        </w:rPr>
      </w:pPr>
      <w:r w:rsidRPr="00FD4013">
        <w:rPr>
          <w:rFonts w:ascii="Tahoma" w:eastAsia="Times New Roman" w:hAnsi="Tahoma" w:cs="Tahoma"/>
          <w:sz w:val="16"/>
          <w:szCs w:val="16"/>
          <w:lang w:eastAsia="es-EC"/>
        </w:rPr>
        <w:br/>
      </w:r>
      <w:r w:rsidRPr="000249D0">
        <w:rPr>
          <w:rFonts w:ascii="Tahoma" w:eastAsia="Times New Roman" w:hAnsi="Tahoma" w:cs="Tahoma"/>
          <w:b/>
          <w:sz w:val="16"/>
          <w:szCs w:val="16"/>
          <w:shd w:val="clear" w:color="auto" w:fill="FFFFFF"/>
          <w:lang w:eastAsia="es-EC"/>
        </w:rPr>
        <w:t>Artículo 1.- </w:t>
      </w:r>
      <w:r w:rsidRPr="00FD4013">
        <w:rPr>
          <w:rFonts w:ascii="Tahoma" w:eastAsia="Times New Roman" w:hAnsi="Tahoma" w:cs="Tahoma"/>
          <w:sz w:val="16"/>
          <w:szCs w:val="16"/>
          <w:shd w:val="clear" w:color="auto" w:fill="FFFFFF"/>
          <w:lang w:eastAsia="es-EC"/>
        </w:rPr>
        <w:t>Sustitúyase el artículo 2 por el siguiente: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"Art. 2. Devolución de cuotas RISE para domiciliados en Manabí y Esmeraldas.- Los sujetos pasivos domiciliados en Manabí y Esmeraldas que hayan pagado una o varias de las cuotas del RISE correspondientes a los periodos fiscales de abril a diciembre de 2016, tendrán derecho a la devolución de las mismas con intereses, para lo cual el Servicio de Rentas Internas, con base a la información que posea en sus bases de datos, procederá a comunicar de manera electrónica a los beneficiarios el detalle de la devolución correspondiente.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Si en el plazo de 3 días calendario, contados a partir de la recepción del correo referido en el inciso anterior, el beneficiario no manifiesta su negativa expresa respecto de los valores a devolver, se entenderá aceptada la comunicación y generada la solicitud, luego de lo cual se procederá a la correspondiente expedición del acto administrativo de devolución.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 xml:space="preserve">Para aquellos contribuyentes que hayan señalado o registrado en la Administración Tributaria una cuenta para débito o acreditación en cuenta; o, aquellos respecto de los cuales la Administración Tributaria pudiese obtener dicha información en sus bases de datos o a </w:t>
      </w:r>
      <w:r w:rsidRPr="00FD4013">
        <w:rPr>
          <w:rFonts w:ascii="Tahoma" w:eastAsia="Times New Roman" w:hAnsi="Tahoma" w:cs="Tahoma"/>
          <w:i/>
          <w:iCs/>
          <w:sz w:val="16"/>
          <w:szCs w:val="16"/>
          <w:shd w:val="clear" w:color="auto" w:fill="FFFFFF"/>
          <w:lang w:eastAsia="es-EC"/>
        </w:rPr>
        <w:lastRenderedPageBreak/>
        <w:t>través de los organismos de control de las entidades del sistema financiero nacional, el Servicio de Rentas Internas procederá a la acreditación de los valores en la cuenta respectiva.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Esta Administración Tributaria notificará a los contribuyentes el acto administrativo que otorgue el beneficio, por cualquiera de los medios establecidos en el Código Tributario que sea más eficiente conforme al criterio del Servicio de Rentas Internas. "</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0249D0">
        <w:rPr>
          <w:rFonts w:ascii="Tahoma" w:eastAsia="Times New Roman" w:hAnsi="Tahoma" w:cs="Tahoma"/>
          <w:b/>
          <w:sz w:val="16"/>
          <w:szCs w:val="16"/>
          <w:shd w:val="clear" w:color="auto" w:fill="FFFFFF"/>
          <w:lang w:eastAsia="es-EC"/>
        </w:rPr>
        <w:t>Artículo 2.-</w:t>
      </w:r>
      <w:r w:rsidRPr="00FD4013">
        <w:rPr>
          <w:rFonts w:ascii="Tahoma" w:eastAsia="Times New Roman" w:hAnsi="Tahoma" w:cs="Tahoma"/>
          <w:sz w:val="16"/>
          <w:szCs w:val="16"/>
          <w:shd w:val="clear" w:color="auto" w:fill="FFFFFF"/>
          <w:lang w:eastAsia="es-EC"/>
        </w:rPr>
        <w:t> A continuación del artículo 7 agréguense las siguientes Disposiciones Generales: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"DISPOSICIONES GENERALES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Primera- En aquellos casos en los que no sea posible la acreditación en cuenta de los valores a devolver conforme lo señalado en este acto normativo, la Administración Tributaria podrá emitir una nota de crédito desmaterializada por el valor correspondiente, misma que se podrá aplicar de forma automática al pago de la cuota global o de las cuotas mensuales, correspondientes al ejercicio fiscal 2017, siempre y cuando el valor reconocido en la nota de crédito cubra el monto total de la/s cuota/s mencionada/s.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De no ser posible la aplicación automática al pago señalada en el inciso anterior; o, si luego de la aplicación exista un saldo pendiente, el contribuyente podrá hacer uso de la nota de crédito dematerializada o solicitar la acreditación en cuenta, conforme la normativa tributaria vigente.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i/>
          <w:iCs/>
          <w:sz w:val="16"/>
          <w:szCs w:val="16"/>
          <w:shd w:val="clear" w:color="auto" w:fill="FFFFFF"/>
          <w:lang w:eastAsia="es-EC"/>
        </w:rPr>
        <w:t>Segunda- Las unidades administrativas competentes del Servicio de Rentas Internas establecerán los procedimientos operativos y tecnológicos internos necesarios para la aplicación de lo señalado en esta Resolución.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0249D0">
        <w:rPr>
          <w:rFonts w:ascii="Tahoma" w:eastAsia="Times New Roman" w:hAnsi="Tahoma" w:cs="Tahoma"/>
          <w:b/>
          <w:sz w:val="16"/>
          <w:szCs w:val="16"/>
          <w:shd w:val="clear" w:color="auto" w:fill="FFFFFF"/>
          <w:lang w:eastAsia="es-EC"/>
        </w:rPr>
        <w:t>DISPOSICIÓN FINAL.-</w:t>
      </w:r>
      <w:r w:rsidRPr="00FD4013">
        <w:rPr>
          <w:rFonts w:ascii="Tahoma" w:eastAsia="Times New Roman" w:hAnsi="Tahoma" w:cs="Tahoma"/>
          <w:sz w:val="16"/>
          <w:szCs w:val="16"/>
          <w:shd w:val="clear" w:color="auto" w:fill="FFFFFF"/>
          <w:lang w:eastAsia="es-EC"/>
        </w:rPr>
        <w:t> La presente Resolución entrará en vigencia a partir de su publicación en el Registro Oficial.</w:t>
      </w: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FD4013" w:rsidRDefault="000249D0" w:rsidP="000249D0">
      <w:pPr>
        <w:spacing w:after="0" w:line="240" w:lineRule="auto"/>
        <w:rPr>
          <w:rFonts w:ascii="Tahoma" w:eastAsia="Times New Roman" w:hAnsi="Tahoma" w:cs="Tahoma"/>
          <w:sz w:val="16"/>
          <w:szCs w:val="16"/>
          <w:lang w:eastAsia="es-EC"/>
        </w:rPr>
      </w:pPr>
    </w:p>
    <w:p w:rsidR="000249D0" w:rsidRPr="000249D0" w:rsidRDefault="0060184D" w:rsidP="000249D0">
      <w:pPr>
        <w:pStyle w:val="Prrafodelista"/>
        <w:numPr>
          <w:ilvl w:val="0"/>
          <w:numId w:val="23"/>
        </w:numPr>
        <w:shd w:val="clear" w:color="auto" w:fill="FFFFFF"/>
        <w:spacing w:after="0" w:line="240" w:lineRule="auto"/>
        <w:jc w:val="both"/>
        <w:rPr>
          <w:rFonts w:ascii="Tahoma" w:hAnsi="Tahoma" w:cs="Tahoma"/>
          <w:b/>
          <w:color w:val="006666"/>
          <w:sz w:val="20"/>
        </w:rPr>
      </w:pPr>
      <w:hyperlink r:id="rId16" w:history="1">
        <w:r w:rsidR="000249D0" w:rsidRPr="000249D0">
          <w:rPr>
            <w:rFonts w:ascii="Tahoma" w:hAnsi="Tahoma" w:cs="Tahoma"/>
            <w:b/>
            <w:color w:val="006666"/>
            <w:sz w:val="20"/>
          </w:rPr>
          <w:t>NAC-DGERCGC17-00000144</w:t>
        </w:r>
      </w:hyperlink>
      <w:r w:rsidR="000249D0" w:rsidRPr="00FD4013">
        <w:rPr>
          <w:rFonts w:ascii="Tahoma" w:hAnsi="Tahoma" w:cs="Tahoma"/>
          <w:b/>
          <w:color w:val="006666"/>
          <w:sz w:val="20"/>
        </w:rPr>
        <w:t>: Amplíese el plazo para la presentación del anexo de gastos personales, correspondiente al ejercicio fiscal 2016</w:t>
      </w:r>
    </w:p>
    <w:p w:rsidR="000249D0" w:rsidRPr="00FD4013" w:rsidRDefault="000249D0" w:rsidP="000249D0">
      <w:pPr>
        <w:spacing w:after="0" w:line="240" w:lineRule="auto"/>
        <w:rPr>
          <w:rFonts w:ascii="Tahoma" w:eastAsia="Times New Roman" w:hAnsi="Tahoma" w:cs="Tahoma"/>
          <w:sz w:val="16"/>
          <w:szCs w:val="16"/>
          <w:shd w:val="clear" w:color="auto" w:fill="FFFFFF"/>
          <w:lang w:eastAsia="es-EC"/>
        </w:rPr>
      </w:pP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Resuelve:</w:t>
      </w:r>
      <w:r w:rsidRPr="000249D0">
        <w:rPr>
          <w:rFonts w:ascii="Tahoma" w:eastAsia="Times New Roman" w:hAnsi="Tahoma" w:cs="Tahoma"/>
          <w:b/>
          <w:sz w:val="16"/>
          <w:szCs w:val="16"/>
          <w:lang w:eastAsia="es-EC"/>
        </w:rPr>
        <w:t> </w:t>
      </w:r>
    </w:p>
    <w:p w:rsidR="000249D0" w:rsidRPr="00FD4013" w:rsidRDefault="000249D0" w:rsidP="000249D0">
      <w:pPr>
        <w:spacing w:after="0" w:line="240" w:lineRule="auto"/>
        <w:rPr>
          <w:rFonts w:ascii="Tahoma" w:eastAsia="Times New Roman" w:hAnsi="Tahoma" w:cs="Tahoma"/>
          <w:sz w:val="16"/>
          <w:szCs w:val="16"/>
          <w:lang w:eastAsia="es-EC"/>
        </w:rPr>
      </w:pPr>
      <w:r w:rsidRPr="00FD4013">
        <w:rPr>
          <w:rFonts w:ascii="Tahoma" w:eastAsia="Times New Roman" w:hAnsi="Tahoma" w:cs="Tahoma"/>
          <w:b/>
          <w:sz w:val="16"/>
          <w:szCs w:val="16"/>
          <w:lang w:eastAsia="es-EC"/>
        </w:rPr>
        <w:br/>
      </w:r>
      <w:r w:rsidRPr="00FD4013">
        <w:rPr>
          <w:rFonts w:ascii="Tahoma" w:eastAsia="Times New Roman" w:hAnsi="Tahoma" w:cs="Tahoma"/>
          <w:b/>
          <w:sz w:val="16"/>
          <w:szCs w:val="16"/>
          <w:shd w:val="clear" w:color="auto" w:fill="FFFFFF"/>
          <w:lang w:eastAsia="es-EC"/>
        </w:rPr>
        <w:t>Ampliar el plazo para la presentación del Anexo de Gastos Personales, correspondiente al ejercicio fiscal 2016.</w:t>
      </w:r>
      <w:r w:rsidRPr="00FD4013">
        <w:rPr>
          <w:rFonts w:ascii="Tahoma" w:eastAsia="Times New Roman" w:hAnsi="Tahoma" w:cs="Tahoma"/>
          <w:b/>
          <w:sz w:val="16"/>
          <w:szCs w:val="16"/>
          <w:lang w:eastAsia="es-EC"/>
        </w:rPr>
        <w:br/>
      </w:r>
      <w:r w:rsidRPr="00FD4013">
        <w:rPr>
          <w:rFonts w:ascii="Tahoma" w:eastAsia="Times New Roman" w:hAnsi="Tahoma" w:cs="Tahoma"/>
          <w:b/>
          <w:sz w:val="16"/>
          <w:szCs w:val="16"/>
          <w:lang w:eastAsia="es-EC"/>
        </w:rPr>
        <w:br/>
      </w:r>
      <w:r w:rsidRPr="00FD4013">
        <w:rPr>
          <w:rFonts w:ascii="Tahoma" w:eastAsia="Times New Roman" w:hAnsi="Tahoma" w:cs="Tahoma"/>
          <w:b/>
          <w:sz w:val="16"/>
          <w:szCs w:val="16"/>
          <w:shd w:val="clear" w:color="auto" w:fill="FFFFFF"/>
          <w:lang w:eastAsia="es-EC"/>
        </w:rPr>
        <w:t>Artículo 1.-</w:t>
      </w:r>
      <w:r w:rsidRPr="00FD4013">
        <w:rPr>
          <w:rFonts w:ascii="Tahoma" w:eastAsia="Times New Roman" w:hAnsi="Tahoma" w:cs="Tahoma"/>
          <w:sz w:val="16"/>
          <w:szCs w:val="16"/>
          <w:shd w:val="clear" w:color="auto" w:fill="FFFFFF"/>
          <w:lang w:eastAsia="es-EC"/>
        </w:rPr>
        <w:t> Para todos los sujetos pasivos de Impuesto a la Renta, por única vez, amplíese el plazo de presentación del Anexo de Gastos Personales correspondiente al ejercicio fiscal 2016, hasta el día miércoles, 8 de marzo de 2017, sin que por este concepto se generen o deba pagarse cualquier tipo de multas.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La entrega de información del Anexo de Gastos Personales se realizará de acuerdo al siguiente calendario:</w:t>
      </w: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p>
    <w:tbl>
      <w:tblPr>
        <w:tblW w:w="0" w:type="auto"/>
        <w:jc w:val="center"/>
        <w:tblInd w:w="52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40"/>
        <w:gridCol w:w="1519"/>
      </w:tblGrid>
      <w:tr w:rsidR="000249D0" w:rsidRPr="000249D0"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Default="000249D0" w:rsidP="000249D0">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Noveno dígito RUC</w:t>
            </w:r>
          </w:p>
          <w:p w:rsidR="000249D0" w:rsidRPr="00FD4013" w:rsidRDefault="000249D0" w:rsidP="000249D0">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 xml:space="preserve"> o Cédula</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Default="000249D0" w:rsidP="000249D0">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 xml:space="preserve">Fecha de </w:t>
            </w:r>
          </w:p>
          <w:p w:rsidR="000249D0" w:rsidRPr="00FD4013" w:rsidRDefault="000249D0" w:rsidP="000249D0">
            <w:pPr>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vencimiento</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1 y 2</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02 de marzo de 2017</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3 y 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03 de marzo de 2017</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5 y 6</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06 de marzo de 2017</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7 y 8</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07 de marzo de 2017</w:t>
            </w:r>
          </w:p>
        </w:tc>
      </w:tr>
      <w:tr w:rsidR="000249D0" w:rsidRPr="00FD4013" w:rsidTr="000249D0">
        <w:trPr>
          <w:jc w:val="center"/>
        </w:trPr>
        <w:tc>
          <w:tcPr>
            <w:tcW w:w="174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9 y 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0249D0" w:rsidRPr="00FD4013" w:rsidRDefault="000249D0" w:rsidP="000249D0">
            <w:pPr>
              <w:spacing w:after="0" w:line="240" w:lineRule="auto"/>
              <w:jc w:val="center"/>
              <w:rPr>
                <w:rFonts w:ascii="Tahoma" w:eastAsia="Times New Roman" w:hAnsi="Tahoma" w:cs="Tahoma"/>
                <w:sz w:val="16"/>
                <w:szCs w:val="16"/>
                <w:lang w:eastAsia="es-EC"/>
              </w:rPr>
            </w:pPr>
            <w:r w:rsidRPr="00FD4013">
              <w:rPr>
                <w:rFonts w:ascii="Tahoma" w:eastAsia="Times New Roman" w:hAnsi="Tahoma" w:cs="Tahoma"/>
                <w:sz w:val="16"/>
                <w:szCs w:val="16"/>
                <w:lang w:eastAsia="es-EC"/>
              </w:rPr>
              <w:t>08 de marzo de 2017</w:t>
            </w:r>
          </w:p>
        </w:tc>
      </w:tr>
    </w:tbl>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p>
    <w:p w:rsidR="000249D0" w:rsidRPr="00FD4013" w:rsidRDefault="000249D0" w:rsidP="000249D0">
      <w:pPr>
        <w:shd w:val="clear" w:color="auto" w:fill="FFFFFF"/>
        <w:spacing w:after="0" w:line="240" w:lineRule="auto"/>
        <w:rPr>
          <w:rFonts w:ascii="Tahoma" w:eastAsia="Times New Roman" w:hAnsi="Tahoma" w:cs="Tahoma"/>
          <w:sz w:val="16"/>
          <w:szCs w:val="16"/>
          <w:lang w:eastAsia="es-EC"/>
        </w:rPr>
      </w:pPr>
      <w:r w:rsidRPr="00FD4013">
        <w:rPr>
          <w:rFonts w:ascii="Tahoma" w:eastAsia="Times New Roman" w:hAnsi="Tahoma" w:cs="Tahoma"/>
          <w:b/>
          <w:sz w:val="16"/>
          <w:szCs w:val="16"/>
          <w:lang w:eastAsia="es-EC"/>
        </w:rPr>
        <w:t>Artículo 2.-</w:t>
      </w:r>
      <w:r w:rsidRPr="00FD4013">
        <w:rPr>
          <w:rFonts w:ascii="Tahoma" w:eastAsia="Times New Roman" w:hAnsi="Tahoma" w:cs="Tahoma"/>
          <w:sz w:val="16"/>
          <w:szCs w:val="16"/>
          <w:lang w:eastAsia="es-EC"/>
        </w:rPr>
        <w:t> Todas las unidades del Servicio de Rentas Internas deberán considerar lo dispuesto en la presente Resolución dentro de sus respectivos procesos de determinación y control.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lang w:eastAsia="es-EC"/>
        </w:rPr>
        <w:t>DISPOSICIÓN GENERAL:</w:t>
      </w:r>
      <w:r w:rsidRPr="00FD4013">
        <w:rPr>
          <w:rFonts w:ascii="Tahoma" w:eastAsia="Times New Roman" w:hAnsi="Tahoma" w:cs="Tahoma"/>
          <w:sz w:val="16"/>
          <w:szCs w:val="16"/>
          <w:lang w:eastAsia="es-EC"/>
        </w:rPr>
        <w:t> Sin perjuicio de lo señalado en los artículos 1 y 2 de la presente Resolución, los sujetos pasivos podrán presentar el Anexo de Gastos Personales correspondiente al ejercicio fiscal 2016, en las fechas previstas para el efecto, en Resolución No. NAC-DGERCGC09-00391 publicada en el Suplemento del Registro Oficial No. 613 de 16 de junio de 2009.</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lang w:eastAsia="es-EC"/>
        </w:rPr>
        <w:t>DISPOSICIÓN FINAL.-</w:t>
      </w:r>
      <w:r w:rsidRPr="00FD4013">
        <w:rPr>
          <w:rFonts w:ascii="Tahoma" w:eastAsia="Times New Roman" w:hAnsi="Tahoma" w:cs="Tahoma"/>
          <w:sz w:val="16"/>
          <w:szCs w:val="16"/>
          <w:lang w:eastAsia="es-EC"/>
        </w:rPr>
        <w:t> La presente Resolución entrará en vigencia a partir de su publicación en el Registro Oficial.</w:t>
      </w:r>
    </w:p>
    <w:p w:rsidR="000249D0" w:rsidRPr="00FD4013" w:rsidRDefault="000249D0" w:rsidP="000249D0">
      <w:pPr>
        <w:spacing w:after="0" w:line="240" w:lineRule="auto"/>
        <w:rPr>
          <w:rFonts w:ascii="Tahoma" w:eastAsia="Times New Roman" w:hAnsi="Tahoma" w:cs="Tahoma"/>
          <w:sz w:val="16"/>
          <w:szCs w:val="16"/>
          <w:shd w:val="clear" w:color="auto" w:fill="FFFFFF"/>
          <w:lang w:eastAsia="es-EC"/>
        </w:rPr>
      </w:pPr>
    </w:p>
    <w:p w:rsidR="00E67BF8" w:rsidRDefault="00E67BF8" w:rsidP="000249D0">
      <w:pPr>
        <w:spacing w:after="0" w:line="240" w:lineRule="auto"/>
        <w:rPr>
          <w:rFonts w:ascii="Tahoma" w:eastAsia="Times New Roman" w:hAnsi="Tahoma" w:cs="Tahoma"/>
          <w:sz w:val="16"/>
          <w:szCs w:val="16"/>
          <w:lang w:eastAsia="es-EC"/>
        </w:rPr>
      </w:pPr>
    </w:p>
    <w:p w:rsidR="00E67BF8" w:rsidRPr="000249D0" w:rsidRDefault="00E67BF8" w:rsidP="00E67BF8">
      <w:pPr>
        <w:pStyle w:val="Prrafodelista"/>
        <w:numPr>
          <w:ilvl w:val="0"/>
          <w:numId w:val="23"/>
        </w:numPr>
        <w:shd w:val="clear" w:color="auto" w:fill="FFFFFF"/>
        <w:spacing w:after="0" w:line="240" w:lineRule="auto"/>
        <w:jc w:val="both"/>
        <w:rPr>
          <w:rFonts w:ascii="Tahoma" w:hAnsi="Tahoma" w:cs="Tahoma"/>
          <w:b/>
          <w:color w:val="006666"/>
          <w:sz w:val="20"/>
        </w:rPr>
      </w:pPr>
      <w:r>
        <w:rPr>
          <w:rFonts w:ascii="Tahoma" w:hAnsi="Tahoma" w:cs="Tahoma"/>
          <w:b/>
          <w:color w:val="006666"/>
          <w:sz w:val="20"/>
        </w:rPr>
        <w:t xml:space="preserve">Circular </w:t>
      </w:r>
      <w:hyperlink r:id="rId17" w:history="1">
        <w:r w:rsidRPr="000249D0">
          <w:rPr>
            <w:rFonts w:ascii="Tahoma" w:hAnsi="Tahoma" w:cs="Tahoma"/>
            <w:b/>
            <w:color w:val="006666"/>
            <w:sz w:val="20"/>
          </w:rPr>
          <w:t>NAC-DGECCGC17-00000002</w:t>
        </w:r>
      </w:hyperlink>
      <w:r w:rsidRPr="000249D0">
        <w:rPr>
          <w:rFonts w:ascii="Tahoma" w:hAnsi="Tahoma" w:cs="Tahoma"/>
          <w:b/>
          <w:color w:val="006666"/>
          <w:sz w:val="20"/>
        </w:rPr>
        <w:t>: A los sujetos pasivos del impuesto a la renta</w:t>
      </w:r>
    </w:p>
    <w:p w:rsidR="00E67BF8" w:rsidRDefault="00E67BF8" w:rsidP="00E67BF8">
      <w:pPr>
        <w:shd w:val="clear" w:color="auto" w:fill="FFFFFF"/>
        <w:spacing w:after="0" w:line="240" w:lineRule="auto"/>
        <w:jc w:val="center"/>
        <w:rPr>
          <w:rFonts w:ascii="Tahoma" w:eastAsia="Times New Roman" w:hAnsi="Tahoma" w:cs="Tahoma"/>
          <w:sz w:val="16"/>
          <w:szCs w:val="16"/>
          <w:lang w:eastAsia="es-EC"/>
        </w:rPr>
      </w:pPr>
    </w:p>
    <w:p w:rsidR="00E67BF8" w:rsidRDefault="00E67BF8" w:rsidP="00E67BF8">
      <w:pPr>
        <w:rPr>
          <w:rFonts w:ascii="Tahoma" w:eastAsia="Times New Roman" w:hAnsi="Tahoma" w:cs="Tahoma"/>
          <w:sz w:val="16"/>
          <w:szCs w:val="16"/>
          <w:shd w:val="clear" w:color="auto" w:fill="FFFFFF"/>
          <w:lang w:eastAsia="es-EC"/>
        </w:rPr>
      </w:pPr>
      <w:r w:rsidRPr="00FD4013">
        <w:rPr>
          <w:rFonts w:ascii="Tahoma" w:eastAsia="Times New Roman" w:hAnsi="Tahoma" w:cs="Tahoma"/>
          <w:sz w:val="16"/>
          <w:szCs w:val="16"/>
          <w:shd w:val="clear" w:color="auto" w:fill="FFFFFF"/>
          <w:lang w:eastAsia="es-EC"/>
        </w:rPr>
        <w:t>El artículo 83 de la Constitución de la República del Ecuador establece que son deberes y responsabilidades de los habitantes del Ecuador acatar y cumplir con la Constitución, la ley y las decisiones legítimas de autoridad competente, cooperar con el Estado y la comunidad en la seguridad social y pagar los tributos establecidos por ley;</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artículo 226 de la Constitución de la República del Ecuador, determina que las instituciones del Estado, sus organismos, dependencias, las servidoras o servidores públicos y las personas que actúen en virtud de una potestad estatal ejercerán solamente las competencias y facultades que les sean atribuidas en la Constitución y la ley.</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 xml:space="preserve">El artículo 300 de la Constitución de la República del Ecuador establece que el régimen tributario se regirá por los principios de </w:t>
      </w:r>
      <w:r w:rsidRPr="00FD4013">
        <w:rPr>
          <w:rFonts w:ascii="Tahoma" w:eastAsia="Times New Roman" w:hAnsi="Tahoma" w:cs="Tahoma"/>
          <w:sz w:val="16"/>
          <w:szCs w:val="16"/>
          <w:shd w:val="clear" w:color="auto" w:fill="FFFFFF"/>
          <w:lang w:eastAsia="es-EC"/>
        </w:rPr>
        <w:lastRenderedPageBreak/>
        <w:t>generalidad, progresividad, eficiencia, simplicidad administrativa, irretroactividad, equidad, transparencia y suficiencia recaudatoria. Se priorizarán los impuestos directos y progresivos. La política tributaria promoverá la redistribución y estimulará el empleo, la producción de bienes y servicios, y conductas ecológicas, sociales y económicas responsables.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artículo 73 del Código Tributario prescribe que la actuación de la Administración Tributaria, se desarrollará con arreglo a los principios de simplificación, celeridad y eficacia;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artículo 92 del Código Tributario establece que tendrá lugar la determinación presuntiva, cuando no sea posible efectuar la determinación directa por falta de declaración del sujeto pasivo, pese a la notificación particular que efectúe el sujeto activo, o porque los documentos que respalden su declaración no sean aceptables por una razón fundamental o no presenten mérito suficiente para acreditarla.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Por otro lado, de acuerdo a lo señalado en el artículo 23 de la Ley de Régimen Tributario Interno, la Administración Tributaria tiene la facultad de efectuar determinaciones presuntivas cuando el sujeto pasivo no hubiese presentado su declaración y no mantenga contabilidad, o cuando habiéndola presentado no estuviese respaldada en la contabilidad, o cuando por causas debidamente demostradas que afecten sustancialmente los resultados no sea posible efectuar la determinación directa, o en el caso de que el contribuyente se negare a proporcionar los documentos y registros contables solicitados por el Servicio de Rentas Internas, en los términos de dicha disposición legal.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En este sentido, el artículo 25 de la Ley de Régimen Tributario Interno señala que cuando no sea posible realizar la determinación presuntiva utilizando los elementos señalados en el artículo 24 ibídem, se aplicarán coeficientes de estimación presuntiva de carácter general, por ramas de actividad económica, que serán fijados anualmente por el Director General del Servicio de Rentas Internas, mediante resolución que debe dictarse en los primeros días del mes de enero de cada año. Estos coeficientes se fijarán tomando como base el capital propio y ajeno que utilicen los sujetos pasivos, las informaciones que se obtengan de sujetos pasivos que operen en condiciones similares y otros indicadores que se estimen apropiados.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A través de Resolución No. NAC-DGERCGC16-00000016, publicada en el Suplemento del Registro Oficial 674 de 21 de enero de 2016, el Servicio de Rentas Internas estableció los coeficientes de carácter general para la determinación presuntiva de impuesto a la renta por ramas de actividad económica, aplicables al ejercicio fiscal 2016.</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Conforme lo previsto en el numeral 2 del artículo 2 de la Ley de Creación del Servicio de Rentas Internas, en concordancia con lo dispuesto por el artículo 9 del Código Tributario, corresponde al Servicio de Rentas Internas efectuar la determinación, recaudación y control de los tributos internos del Estado, para lo cual podrá hacer uso de sus facultades previstas en la Ley;</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De acuerdo a lo establecido en el artículo 7 del Código Tributario, en concordancia con el artículo 8 de la Ley de Creación del Servicio de Rentas Internas, es facultad del Director General del Servicio de Rentas Internas expedir las resoluciones, circulares o disposiciones de carácter general y obligatorio necesarias para la aplicación de las normas legales y reglamentarias;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Con fundamento en la normativa expuesta, el Servicio de Rentas Internas aclara a los sujetos pasivos lo siguiente: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El Director del Servicio de Rentas Internas se encuentra facultado para establecer de manera anual, los coeficientes de estimación presuntiva de carácter general, por ramas de actividad económica, a través de la correspondiente resolución.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En este sentido, y en ejercicio de la mencionada facultad, esta Administración Tributaria aclara que los coeficientes antes referidos, serán establecidos durante los primeros días del mes de enero del siguiente ejercicio fiscal respecto de aquel en el que se aplicarán, considerando la necesidad de contar para el efecto, con la información de las declaraciones de impuesto a la renta de uno o más ejercicios fiscales anteriores, incluida la del ejercicio fiscal inmediatamente anterior a aquel para el cual se establecen los referidos coeficientes, todo lo cual permitirá establecer datos de ingresos, costos, gastos y patrimonio, actualizados a la realidad de cada sector o rama de actividad económica.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Comuníquese y publíquese en el Registro Oficial.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Dado en Quito, D. M., a 13 de febrero de 2017.</w:t>
      </w:r>
    </w:p>
    <w:p w:rsidR="000249D0" w:rsidRPr="00FD4013" w:rsidRDefault="000249D0" w:rsidP="000249D0">
      <w:pPr>
        <w:spacing w:after="0" w:line="240" w:lineRule="auto"/>
        <w:rPr>
          <w:rFonts w:ascii="Tahoma" w:eastAsia="Times New Roman" w:hAnsi="Tahoma" w:cs="Tahoma"/>
          <w:sz w:val="16"/>
          <w:szCs w:val="16"/>
          <w:lang w:eastAsia="es-EC"/>
        </w:rPr>
      </w:pPr>
      <w:r w:rsidRPr="00FD4013">
        <w:rPr>
          <w:rFonts w:ascii="Tahoma" w:eastAsia="Times New Roman" w:hAnsi="Tahoma" w:cs="Tahoma"/>
          <w:sz w:val="16"/>
          <w:szCs w:val="16"/>
          <w:lang w:eastAsia="es-EC"/>
        </w:rPr>
        <w:br/>
      </w:r>
    </w:p>
    <w:p w:rsidR="000249D0" w:rsidRPr="000249D0" w:rsidRDefault="000249D0" w:rsidP="000249D0">
      <w:pPr>
        <w:shd w:val="clear" w:color="auto" w:fill="FFFFFF"/>
        <w:spacing w:after="0" w:line="240" w:lineRule="auto"/>
        <w:jc w:val="center"/>
        <w:rPr>
          <w:rFonts w:ascii="Tahoma" w:eastAsia="Times New Roman" w:hAnsi="Tahoma" w:cs="Tahoma"/>
          <w:bCs/>
          <w:caps/>
          <w:color w:val="009999"/>
          <w:sz w:val="1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FD4013">
        <w:rPr>
          <w:rFonts w:ascii="Tahoma" w:hAnsi="Tahoma" w:cs="Tahoma"/>
          <w:caps/>
          <w:color w:val="009999"/>
          <w:sz w:val="32"/>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lastRenderedPageBreak/>
        <w:t>FUNCIÓN DE TRANSPARENCIA Y CONTROL SOCIAL</w:t>
      </w:r>
      <w:r w:rsidRPr="00FD4013">
        <w:rPr>
          <w:rFonts w:ascii="Tahoma" w:hAnsi="Tahoma" w:cs="Tahoma"/>
          <w:caps/>
          <w:color w:val="009999"/>
          <w:sz w:val="32"/>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br/>
      </w:r>
    </w:p>
    <w:p w:rsidR="000249D0" w:rsidRPr="00E67BF8" w:rsidRDefault="000249D0" w:rsidP="000249D0">
      <w:pPr>
        <w:shd w:val="clear" w:color="auto" w:fill="FFFFFF"/>
        <w:spacing w:after="0" w:line="240" w:lineRule="auto"/>
        <w:rPr>
          <w:rFonts w:ascii="Tahoma" w:eastAsia="Times New Roman" w:hAnsi="Tahoma" w:cs="Tahoma"/>
          <w:bCs/>
          <w:caps/>
          <w:color w:val="009999"/>
          <w:sz w:val="24"/>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r w:rsidRPr="00FD4013">
        <w:rPr>
          <w:rFonts w:ascii="Tahoma" w:eastAsia="Times New Roman" w:hAnsi="Tahoma" w:cs="Tahoma"/>
          <w:bCs/>
          <w:caps/>
          <w:color w:val="009999"/>
          <w:sz w:val="24"/>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SUPERINTENDENCIA DE COMPAÑÍAS, VALORES Y SEGUROS:</w:t>
      </w:r>
      <w:r w:rsidRPr="00E67BF8">
        <w:rPr>
          <w:rFonts w:ascii="Tahoma" w:eastAsia="Times New Roman" w:hAnsi="Tahoma" w:cs="Tahoma"/>
          <w:bCs/>
          <w:caps/>
          <w:color w:val="009999"/>
          <w:sz w:val="24"/>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t> </w:t>
      </w:r>
    </w:p>
    <w:p w:rsidR="000249D0" w:rsidRPr="00FD4013" w:rsidRDefault="000249D0" w:rsidP="000249D0">
      <w:pPr>
        <w:shd w:val="clear" w:color="auto" w:fill="FFFFFF"/>
        <w:spacing w:after="0" w:line="240" w:lineRule="auto"/>
        <w:jc w:val="center"/>
        <w:rPr>
          <w:rFonts w:ascii="Tahoma" w:eastAsia="Times New Roman" w:hAnsi="Tahoma" w:cs="Tahoma"/>
          <w:sz w:val="16"/>
          <w:szCs w:val="16"/>
          <w:lang w:eastAsia="es-EC"/>
        </w:rPr>
      </w:pPr>
    </w:p>
    <w:p w:rsidR="000249D0" w:rsidRPr="000249D0" w:rsidRDefault="0060184D" w:rsidP="000249D0">
      <w:pPr>
        <w:pStyle w:val="Prrafodelista"/>
        <w:numPr>
          <w:ilvl w:val="0"/>
          <w:numId w:val="23"/>
        </w:numPr>
        <w:shd w:val="clear" w:color="auto" w:fill="FFFFFF"/>
        <w:spacing w:after="0" w:line="240" w:lineRule="auto"/>
        <w:jc w:val="both"/>
        <w:rPr>
          <w:rFonts w:ascii="Tahoma" w:hAnsi="Tahoma" w:cs="Tahoma"/>
          <w:b/>
          <w:color w:val="006666"/>
          <w:sz w:val="20"/>
        </w:rPr>
      </w:pPr>
      <w:hyperlink r:id="rId18" w:history="1">
        <w:r w:rsidR="000249D0" w:rsidRPr="000249D0">
          <w:rPr>
            <w:rFonts w:ascii="Tahoma" w:hAnsi="Tahoma" w:cs="Tahoma"/>
            <w:b/>
            <w:color w:val="006666"/>
            <w:sz w:val="20"/>
          </w:rPr>
          <w:t>SCVS.INC.DNCDN-2017.03</w:t>
        </w:r>
      </w:hyperlink>
      <w:r w:rsidR="000249D0" w:rsidRPr="000249D0">
        <w:rPr>
          <w:rFonts w:ascii="Tahoma" w:hAnsi="Tahoma" w:cs="Tahoma"/>
          <w:b/>
          <w:color w:val="006666"/>
          <w:sz w:val="20"/>
        </w:rPr>
        <w:t>: Expídese el Reglamento sobre la información que deben remitir a la SC, las compañías ecuatorianas que cuenten con sociedades extranjeras en calidad de socios o accionistas</w:t>
      </w:r>
    </w:p>
    <w:p w:rsidR="000249D0" w:rsidRDefault="000249D0" w:rsidP="000249D0">
      <w:pPr>
        <w:shd w:val="clear" w:color="auto" w:fill="FFFFFF"/>
        <w:spacing w:after="0" w:line="240" w:lineRule="auto"/>
        <w:rPr>
          <w:rFonts w:ascii="Tahoma" w:eastAsia="Times New Roman" w:hAnsi="Tahoma" w:cs="Tahoma"/>
          <w:sz w:val="16"/>
          <w:szCs w:val="16"/>
          <w:lang w:eastAsia="es-EC"/>
        </w:rPr>
      </w:pP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Resuelve:</w:t>
      </w:r>
      <w:r w:rsidRPr="000249D0">
        <w:rPr>
          <w:rFonts w:ascii="Tahoma" w:eastAsia="Times New Roman" w:hAnsi="Tahoma" w:cs="Tahoma"/>
          <w:b/>
          <w:sz w:val="16"/>
          <w:szCs w:val="16"/>
          <w:lang w:eastAsia="es-EC"/>
        </w:rPr>
        <w:t> </w:t>
      </w:r>
    </w:p>
    <w:p w:rsidR="000249D0" w:rsidRPr="00FD4013" w:rsidRDefault="000249D0" w:rsidP="000249D0">
      <w:pPr>
        <w:spacing w:after="0" w:line="240" w:lineRule="auto"/>
        <w:rPr>
          <w:rFonts w:ascii="Tahoma" w:eastAsia="Times New Roman" w:hAnsi="Tahoma" w:cs="Tahoma"/>
          <w:sz w:val="16"/>
          <w:szCs w:val="16"/>
          <w:lang w:eastAsia="es-EC"/>
        </w:rPr>
      </w:pPr>
      <w:r w:rsidRPr="00FD4013">
        <w:rPr>
          <w:rFonts w:ascii="Tahoma" w:eastAsia="Times New Roman" w:hAnsi="Tahoma" w:cs="Tahoma"/>
          <w:b/>
          <w:sz w:val="16"/>
          <w:szCs w:val="16"/>
          <w:lang w:eastAsia="es-EC"/>
        </w:rPr>
        <w:br/>
      </w:r>
      <w:r w:rsidRPr="00FD4013">
        <w:rPr>
          <w:rFonts w:ascii="Tahoma" w:eastAsia="Times New Roman" w:hAnsi="Tahoma" w:cs="Tahoma"/>
          <w:b/>
          <w:sz w:val="16"/>
          <w:szCs w:val="16"/>
          <w:shd w:val="clear" w:color="auto" w:fill="FFFFFF"/>
          <w:lang w:eastAsia="es-EC"/>
        </w:rPr>
        <w:t>Expedir el</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b/>
          <w:sz w:val="16"/>
          <w:szCs w:val="16"/>
          <w:shd w:val="clear" w:color="auto" w:fill="FFFFFF"/>
          <w:lang w:eastAsia="es-EC"/>
        </w:rPr>
        <w:t>REGLAMENTO SOBRE LA INFORMACIÓN QUE DEBEN REMITIR A LA SUPERINTENDENCIA DE COMPAÑÍAS, VALORES Y SEGUROS LAS COMPAÑÍAS ECUATORIANAS QUE CUENTEN CON SOCIEDADES EXTRANJERAS EN CALIDAD DE SOCIOS O ACCIONISTAS.</w:t>
      </w:r>
      <w:r w:rsidRPr="00FD4013">
        <w:rPr>
          <w:rFonts w:ascii="Tahoma" w:eastAsia="Times New Roman" w:hAnsi="Tahoma" w:cs="Tahoma"/>
          <w:b/>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1.- Objeto.-</w:t>
      </w:r>
      <w:r w:rsidRPr="00FD4013">
        <w:rPr>
          <w:rFonts w:ascii="Tahoma" w:eastAsia="Times New Roman" w:hAnsi="Tahoma" w:cs="Tahoma"/>
          <w:sz w:val="16"/>
          <w:szCs w:val="16"/>
          <w:shd w:val="clear" w:color="auto" w:fill="FFFFFF"/>
          <w:lang w:eastAsia="es-EC"/>
        </w:rPr>
        <w:t> El objeto de este reglamento es definir el procedimiento que deberán seguir las compañías ecuatorianas que tengan como socios o accionistas a sociedades extranjeras, para remitir anualmente a la Superintendencia de Compañías, Valores y Seguros la información exigida en los artículos 131 y en los dos últimos incisos del artículo 263 de la Ley de Compañías.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2.- Sociedades extranjeras socias o accionistas de compañías ecuatorianas. Obligaciones.-</w:t>
      </w:r>
      <w:r w:rsidRPr="00FD4013">
        <w:rPr>
          <w:rFonts w:ascii="Tahoma" w:eastAsia="Times New Roman" w:hAnsi="Tahoma" w:cs="Tahoma"/>
          <w:sz w:val="16"/>
          <w:szCs w:val="16"/>
          <w:shd w:val="clear" w:color="auto" w:fill="FFFFFF"/>
          <w:lang w:eastAsia="es-EC"/>
        </w:rPr>
        <w:t> Las sociedades extranjeras podrán ser socias o accionistas de compañías ecuatorianas si sus capitales están representados únicamente por participaciones, partes sociales o acciones nominativas, es decir, expedidas o emitidas a favor o a nombre de sus socios, miembros o accionistas, y de ninguna manera al portador.</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En atención a lo dispuesto en la letra h del artículo 115, y en el artículo agregado a continuación del artículo 221 de la Ley de Compañías, dichas sociedades extranjeras tienen la obligación de presentar a la compañía ecuatoriana, durante el mes de diciembre de cada año, los documentos detallados en la letra b, números 1, 2 o 3, de ser el caso, del artículo a continuación.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3.- Información anual. Registro.-</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Sin perjuicio de lo dispuesto en el literal b del artículo 20 de la Ley de Compañías, es obligación del representante legal de la compañía nacional que cuente con sociedades extranjeras como socias o accionistas, presentar de forma digitalizada, a través del módulo habilitado en el portal web institucional, a la Superintendencia de Compañías, Valores y Seguros en el mes de enero de cada año, la siguiente información:</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a) Información general:</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1. La denominación o razón social de la compañía nacional y su número de expediente.</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 Nombre y cargo del representante legal de la compañía nacional.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b) Información específica:</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1. Una certificación extendida por la autoridad competente del país de origen, que acredite la existencia legal de la sociedad extranjera, socia o accionista de la compañía ecuatoriana. Dicha certificación será apostillada o autenticada por cónsul ecuatoriano.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 Una lista completa de todos los socios, accionistas o miembros, de la sociedad extranjera, suscrita y certificada ante Notario Público por el secretario, administrador o funcionario de la prenombrada sociedad extranjera, que estuviere autorizado al respecto, o por un apoderado legalmente constituido. Si la lista hubiere sido suscrita en el exterior, será apostillada o autenticada por cónsul ecuatoriano.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Dicha lista contendrá la siguiente información que se consignará en el formulario que facilitará la Superintendencia de Compañías, Valores y Seguros: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2.1. Los siguientes datos actualizados: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2.1.1. Denominación completa o razón social de la sociedad extranjera.</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2.1.2 Nacionalidad.</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2.1.3. Domicilio.</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 En relación con los socios, accionistas o miembros de la sociedad extranjera, los siguientes datos: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 Socios, accionistas o miembros personas naturales: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2.2.1.1. Nombres y apellidos completos.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2.2.1.2. Estado civil.</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2.2.1.3. Nacionalidad.</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2.2.1.4. Domicilio.</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2.2.2. Socios, accionistas o miembros personas jurídicas:</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2.2.2.1. Denominación completa o razón social.</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2.2.2.2. Nacionalidad.</w:t>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2.2.2.3. Domicilio.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3. Si la sociedad extranjera que fuere accionista de una compañía anónima ecuatoriana estuviere registrada en una o más bolsas de valores extranjeras, en lugar de la lista completa de todos sus socios, accionistas o miembros mencionada en el número anterior, deberá presentar una declaración juramentada de tal registro y del hecho de que la totalidad de su capital se encuentra representado exclusivamente por acciones, participaciones o títulos nominativos.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 xml:space="preserve">4. La lista de los apoderados de compañías extranjeras que tengan participaciones o acciones en compañías ecuatorianas, con indicación </w:t>
      </w:r>
      <w:r w:rsidRPr="00FD4013">
        <w:rPr>
          <w:rFonts w:ascii="Tahoma" w:eastAsia="Times New Roman" w:hAnsi="Tahoma" w:cs="Tahoma"/>
          <w:sz w:val="16"/>
          <w:szCs w:val="16"/>
          <w:shd w:val="clear" w:color="auto" w:fill="FFFFFF"/>
          <w:lang w:eastAsia="es-EC"/>
        </w:rPr>
        <w:lastRenderedPageBreak/>
        <w:t>de los nombres y apellidos completos, nacionalidad y domicilios de cada apoderado. El poder debe constar por documento otorgado en el país de origen, y apostillado o autenticado por cónsul ecuatoriano, y puede servir a una o varias compañías locales en que la sociedad extranjera sea socia o accionista. Para su validez, no se requiere declaración de suficiencia para sus efectos en el Ecuador, ni calificación judicial sobre su legalidad y autenticidad, ni inscripción, ni publicación, pero sí deberá ser conocido por la compañía nacional.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5. La situación de remisa o no de la sociedad extranjera, socia o accionista de la compañía nacional, respecto del cumplimiento de su obligación de presentar anualmente a la compañía la información, contemplada en los artículos 115, letra h, y en el artículo agregado a continuación del artículo 221 de la Ley de Compañías.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4.- Declaración de que la información no ha variado.-</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Si la información que la compañía ecuatoriana debe presentar a la Superintendencia de Compañías, Valores y Seguros sobre sus socias o accionistas sociedades extranjeras no ha variado respecto de la información consignada el año anterior, la obligación de la compañía ecuatoriana se tendrá por cumplida mediante la declaración bajo juramento que en dicho sentido realice el representante legal, a través del módulo correspondiente del portal web institucional.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5.- Incumplimiento de la sociedad extranjera.-</w:t>
      </w:r>
      <w:r w:rsidRPr="000249D0">
        <w:rPr>
          <w:rFonts w:ascii="Tahoma" w:eastAsia="Times New Roman" w:hAnsi="Tahoma" w:cs="Tahoma"/>
          <w:b/>
          <w:sz w:val="16"/>
          <w:szCs w:val="16"/>
          <w:shd w:val="clear" w:color="auto" w:fill="FFFFFF"/>
          <w:lang w:eastAsia="es-EC"/>
        </w:rPr>
        <w:t> </w:t>
      </w:r>
      <w:r w:rsidRPr="00FD4013">
        <w:rPr>
          <w:rFonts w:ascii="Tahoma" w:eastAsia="Times New Roman" w:hAnsi="Tahoma" w:cs="Tahoma"/>
          <w:sz w:val="16"/>
          <w:szCs w:val="16"/>
          <w:shd w:val="clear" w:color="auto" w:fill="FFFFFF"/>
          <w:lang w:eastAsia="es-EC"/>
        </w:rPr>
        <w:t>Si la compañía ecuatoriana no hubiere recibido de la sociedad extranjera socia o accionista, los documentos descritos en la letra b, números 1, 2 o 3 del artículo 3 de este Reglamento, la obligación de presentar anualmente la información a la Superintendencia de Compañías, Valores y Seguros será cumplida hasta el quinto día del siguiente mes de febrero, con indicación de la sociedad extranjera socia o accionista remisa.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Si los documentos no se presentaren antes de la instalación de la próxima junta general ordinaria de socios o accionistas, la sociedad prenombrada no podrá concurrir, ni intervenir ni votar en dicha junta general.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6.- Incumplimiento del representante legal de la compañía ecuatoriana</w:t>
      </w:r>
      <w:r w:rsidRPr="00FD4013">
        <w:rPr>
          <w:rFonts w:ascii="Tahoma" w:eastAsia="Times New Roman" w:hAnsi="Tahoma" w:cs="Tahoma"/>
          <w:sz w:val="16"/>
          <w:szCs w:val="16"/>
          <w:shd w:val="clear" w:color="auto" w:fill="FFFFFF"/>
          <w:lang w:eastAsia="es-EC"/>
        </w:rPr>
        <w:t>.- La sociedad extranjera socia o accionista de una compañía ecuatoriana podrá presentar directamente a la Superintendencia de Compañías, Valores y Seguros, en cualquier momento, la certificación, lista, o de ser el caso, la declaración juramentada, descritas en la letra b, números 1, 2 y 3, respectivamente, del artículo 3 de este Reglamento. Para tales efectos, a fin de presentar tales documentos en formato digital, podrá solicitar que se le habilite un usuario y contraseña en el portal web institucional.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La Superintendencia validará la información recibida, y de ser procedente, levantará la situación de remisa de la sociedad extranjera.</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7.- Exclusión o separación.-</w:t>
      </w:r>
      <w:r w:rsidRPr="00FD4013">
        <w:rPr>
          <w:rFonts w:ascii="Tahoma" w:eastAsia="Times New Roman" w:hAnsi="Tahoma" w:cs="Tahoma"/>
          <w:sz w:val="16"/>
          <w:szCs w:val="16"/>
          <w:shd w:val="clear" w:color="auto" w:fill="FFFFFF"/>
          <w:lang w:eastAsia="es-EC"/>
        </w:rPr>
        <w:t> Si la sociedad extranjera socia de una compañía de responsabilidad limitada ecuatoriana, incumpliere por dos o más años consecutivos, con la obligación dispuesta en el artículo 115, letra h, de la Ley de Compañías, dicho incumplimiento constituirá causal de exclusión de socio, prevista en los artículos 82 y 83 de la precitada Ley, previo acuerdo de la junta general de socios.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En caso de que la sociedad extranjera accionista de una compañía anónima ecuatoriana, incumpliere por dos o más años consecutivos con la obligación prevista en el artículo innumerado agregado a continuación del artículo 221 de la Ley de Compañías, podrá ser separada de la compañía, siguiendo el procedimiento señalado en la misma disposición legal.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Mediante el sistema informático de la Superintendencia se informará automáticamente de las sociedades extranjeras remisas por dos o más años consecutivos a las subdirecciones de Registro de Sociedades o al funcionario correspondiente en las intendencias regionales, para efecto de lo establecido en los incisos anteriores.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8.- Ingreso de sociedad extranjera a la nómina de socios o accionistas de una compañía ecuatoriana en su constitución o mediante acto societario posterior.-</w:t>
      </w:r>
      <w:r w:rsidRPr="00FD4013">
        <w:rPr>
          <w:rFonts w:ascii="Tahoma" w:eastAsia="Times New Roman" w:hAnsi="Tahoma" w:cs="Tahoma"/>
          <w:sz w:val="16"/>
          <w:szCs w:val="16"/>
          <w:shd w:val="clear" w:color="auto" w:fill="FFFFFF"/>
          <w:lang w:eastAsia="es-EC"/>
        </w:rPr>
        <w:t>En caso que una sociedad extranjera interviniere en la constitución de una compañía ecuatoriana de responsabilidad limitada o anónima, en la escritura pública respectiva se agregarán la certificación y la lista puntualizadas en el artículo 3 de este reglamento.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Si es que la entidad controlada tiene entre sus accionistas o socios a personas jurídicas nacionales o extranjeras, sin importar cuál sea su participación, su representante legal deberá reportar a la Superintendencia de Compañías la nómina de personas naturales o jurídicas que sean, a su vez, accionistas o socias de las antes indicadas personas jurídicas.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Las compañías controladas y vigiladas por la Superintendencia de Compañías, Valores y Seguros están obligadas a presentar este reporte dentro de los quince días posteriores a que una persona jurídica nacional o extranjera pase a ser socio o accionista de éstas.</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La Superintendencia de Compañías, Valores y Seguros podrá requerir, en cualquier momento, información que identifique a los socios, accionistas o miembros de las sociedades extranjeras socias o accionistas de compañías nacionales, sucesivamente hasta identificar a la última persona natural.</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9.- Intervención y disolución de las compañías incumplidas.-</w:t>
      </w:r>
      <w:r w:rsidRPr="00FD4013">
        <w:rPr>
          <w:rFonts w:ascii="Tahoma" w:eastAsia="Times New Roman" w:hAnsi="Tahoma" w:cs="Tahoma"/>
          <w:sz w:val="16"/>
          <w:szCs w:val="16"/>
          <w:shd w:val="clear" w:color="auto" w:fill="FFFFFF"/>
          <w:lang w:eastAsia="es-EC"/>
        </w:rPr>
        <w:t> El incumplimiento de la compañía ecuatoriana de la obligación de informar por dos o más años seguidos, impuesta en el artículo 131 y en los dos últimos incisos del artículo 263 de la Ley de Compañías, faculta a la Superintendencia de Compañías, Valores y Seguros a declarar el estado de intervención de la compañía incumplida, de conformidad con el número 6 del artículo 354 de la misma ley.</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t>Art. 10.- Certificado de cumplimiento de obligaciones.-</w:t>
      </w:r>
      <w:r w:rsidRPr="00FD4013">
        <w:rPr>
          <w:rFonts w:ascii="Tahoma" w:eastAsia="Times New Roman" w:hAnsi="Tahoma" w:cs="Tahoma"/>
          <w:sz w:val="16"/>
          <w:szCs w:val="16"/>
          <w:shd w:val="clear" w:color="auto" w:fill="FFFFFF"/>
          <w:lang w:eastAsia="es-EC"/>
        </w:rPr>
        <w:t xml:space="preserve"> El certificado de cumplimiento de obligaciones que se emitiere, en el caso de compañías ecuatorianas que incumplieren la obligación establecida en el artículo 131 y en los dos últimos incisos del artículo 263 de la Ley de Compañías, consignará el referido incumplimiento.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Por el contrario, si la compañía nacional cumpliere con dicha obligación, a pesar del señalamiento de sociedades extranjeras socias o accionistas remisas, el referido certificado no reflejará obligación pendiente en tal sentido.</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b/>
          <w:sz w:val="16"/>
          <w:szCs w:val="16"/>
          <w:shd w:val="clear" w:color="auto" w:fill="FFFFFF"/>
          <w:lang w:eastAsia="es-EC"/>
        </w:rPr>
        <w:lastRenderedPageBreak/>
        <w:t>Art. 11.- Formularios.-</w:t>
      </w:r>
      <w:r w:rsidRPr="00FD4013">
        <w:rPr>
          <w:rFonts w:ascii="Tahoma" w:eastAsia="Times New Roman" w:hAnsi="Tahoma" w:cs="Tahoma"/>
          <w:sz w:val="16"/>
          <w:szCs w:val="16"/>
          <w:shd w:val="clear" w:color="auto" w:fill="FFFFFF"/>
          <w:lang w:eastAsia="es-EC"/>
        </w:rPr>
        <w:t> Para la presentación de la información referida en el presente reglamento, se utilizarán los formularios que facilitará la Superintendencia de Compañías, Valores y Seguros, los que únicamente serán receptados de forma digital, a través del portal web institucional, con la declaración bajo juramento del representante de la compañía.</w:t>
      </w:r>
      <w:r w:rsidRPr="00FD4013">
        <w:rPr>
          <w:rFonts w:ascii="Tahoma" w:eastAsia="Times New Roman" w:hAnsi="Tahoma" w:cs="Tahoma"/>
          <w:sz w:val="16"/>
          <w:szCs w:val="16"/>
          <w:lang w:eastAsia="es-EC"/>
        </w:rPr>
        <w:br/>
      </w:r>
    </w:p>
    <w:p w:rsidR="000249D0" w:rsidRPr="00FD4013" w:rsidRDefault="000249D0" w:rsidP="000249D0">
      <w:pPr>
        <w:shd w:val="clear" w:color="auto" w:fill="FFFFFF"/>
        <w:spacing w:after="0" w:line="240" w:lineRule="auto"/>
        <w:jc w:val="center"/>
        <w:rPr>
          <w:rFonts w:ascii="Tahoma" w:eastAsia="Times New Roman" w:hAnsi="Tahoma" w:cs="Tahoma"/>
          <w:b/>
          <w:sz w:val="16"/>
          <w:szCs w:val="16"/>
          <w:lang w:eastAsia="es-EC"/>
        </w:rPr>
      </w:pPr>
      <w:r w:rsidRPr="00FD4013">
        <w:rPr>
          <w:rFonts w:ascii="Tahoma" w:eastAsia="Times New Roman" w:hAnsi="Tahoma" w:cs="Tahoma"/>
          <w:b/>
          <w:sz w:val="16"/>
          <w:szCs w:val="16"/>
          <w:lang w:eastAsia="es-EC"/>
        </w:rPr>
        <w:t>DISPOSICIÓN DEROGATORIA</w:t>
      </w:r>
      <w:r w:rsidRPr="000249D0">
        <w:rPr>
          <w:rFonts w:ascii="Tahoma" w:eastAsia="Times New Roman" w:hAnsi="Tahoma" w:cs="Tahoma"/>
          <w:b/>
          <w:sz w:val="16"/>
          <w:szCs w:val="16"/>
          <w:lang w:eastAsia="es-EC"/>
        </w:rPr>
        <w:t> </w:t>
      </w:r>
    </w:p>
    <w:p w:rsidR="000249D0" w:rsidRPr="00FD4013" w:rsidRDefault="000249D0" w:rsidP="000249D0">
      <w:pPr>
        <w:rPr>
          <w:rFonts w:ascii="Tahoma" w:hAnsi="Tahoma" w:cs="Tahoma"/>
          <w:sz w:val="16"/>
          <w:szCs w:val="16"/>
        </w:rPr>
      </w:pPr>
      <w:r w:rsidRPr="000249D0">
        <w:rPr>
          <w:rFonts w:ascii="Tahoma" w:eastAsia="Times New Roman" w:hAnsi="Tahoma" w:cs="Tahoma"/>
          <w:b/>
          <w:sz w:val="16"/>
          <w:szCs w:val="16"/>
          <w:lang w:eastAsia="es-EC"/>
        </w:rPr>
        <w:br/>
      </w:r>
      <w:r w:rsidRPr="000249D0">
        <w:rPr>
          <w:rFonts w:ascii="Tahoma" w:eastAsia="Times New Roman" w:hAnsi="Tahoma" w:cs="Tahoma"/>
          <w:b/>
          <w:sz w:val="16"/>
          <w:szCs w:val="16"/>
          <w:shd w:val="clear" w:color="auto" w:fill="FFFFFF"/>
          <w:lang w:eastAsia="es-EC"/>
        </w:rPr>
        <w:t>Primera.- </w:t>
      </w:r>
      <w:r w:rsidRPr="00FD4013">
        <w:rPr>
          <w:rFonts w:ascii="Tahoma" w:eastAsia="Times New Roman" w:hAnsi="Tahoma" w:cs="Tahoma"/>
          <w:sz w:val="16"/>
          <w:szCs w:val="16"/>
          <w:shd w:val="clear" w:color="auto" w:fill="FFFFFF"/>
          <w:lang w:eastAsia="es-EC"/>
        </w:rPr>
        <w:t>Deróguese la resolución No. SC-DSC-G-12-002 de 12 de marzo de 2012, publicada en el Registro Oficial No. 676 de 4 de abril de 2012.</w:t>
      </w:r>
      <w:r w:rsidRPr="00FD4013">
        <w:rPr>
          <w:rFonts w:ascii="Tahoma" w:eastAsia="Times New Roman" w:hAnsi="Tahoma" w:cs="Tahoma"/>
          <w:sz w:val="16"/>
          <w:szCs w:val="16"/>
          <w:lang w:eastAsia="es-EC"/>
        </w:rPr>
        <w:br/>
      </w:r>
      <w:r w:rsidRPr="00FD4013">
        <w:rPr>
          <w:rFonts w:ascii="Tahoma" w:eastAsia="Times New Roman" w:hAnsi="Tahoma" w:cs="Tahoma"/>
          <w:sz w:val="16"/>
          <w:szCs w:val="16"/>
          <w:lang w:eastAsia="es-EC"/>
        </w:rPr>
        <w:br/>
      </w:r>
      <w:r w:rsidRPr="00FD4013">
        <w:rPr>
          <w:rFonts w:ascii="Tahoma" w:eastAsia="Times New Roman" w:hAnsi="Tahoma" w:cs="Tahoma"/>
          <w:sz w:val="16"/>
          <w:szCs w:val="16"/>
          <w:shd w:val="clear" w:color="auto" w:fill="FFFFFF"/>
          <w:lang w:eastAsia="es-EC"/>
        </w:rPr>
        <w:t>La presente resolución entrará en vigencia a partir de su publicación en el Registro Oficial, y de su ejecución encárguense a las intendencias regionales, a la Intendencia Nacional de Planificación, Tecnología y Desarrollo y a la Secretaría General.</w:t>
      </w:r>
    </w:p>
    <w:p w:rsidR="004D356A" w:rsidRPr="0072669E" w:rsidRDefault="004D356A" w:rsidP="0072669E">
      <w:pPr>
        <w:spacing w:after="0" w:line="240" w:lineRule="auto"/>
        <w:rPr>
          <w:rFonts w:ascii="Tahoma" w:hAnsi="Tahoma" w:cs="Tahoma"/>
          <w:b/>
          <w:sz w:val="18"/>
          <w:szCs w:val="18"/>
        </w:rPr>
        <w:sectPr w:rsidR="004D356A" w:rsidRPr="0072669E" w:rsidSect="000204F1">
          <w:headerReference w:type="default" r:id="rId19"/>
          <w:footerReference w:type="default" r:id="rId20"/>
          <w:type w:val="continuous"/>
          <w:pgSz w:w="11906" w:h="16838"/>
          <w:pgMar w:top="1812" w:right="991" w:bottom="1417" w:left="1134" w:header="708" w:footer="563" w:gutter="0"/>
          <w:cols w:space="708"/>
          <w:docGrid w:linePitch="360"/>
        </w:sectPr>
      </w:pPr>
      <w:r w:rsidRPr="0072669E">
        <w:rPr>
          <w:rFonts w:ascii="Tahoma" w:eastAsia="Times New Roman" w:hAnsi="Tahoma" w:cs="Tahoma"/>
          <w:b/>
          <w:sz w:val="16"/>
          <w:szCs w:val="16"/>
          <w:shd w:val="clear" w:color="auto" w:fill="FFFFFF"/>
          <w:lang w:val="es-EC" w:eastAsia="es-EC"/>
        </w:rPr>
        <w:t xml:space="preserve"> </w:t>
      </w:r>
    </w:p>
    <w:p w:rsidR="008308BE" w:rsidRPr="00774982" w:rsidRDefault="008308BE" w:rsidP="00BE2E25">
      <w:pPr>
        <w:pStyle w:val="z-Finaldelformulario"/>
        <w:rPr>
          <w:rFonts w:ascii="Tahoma" w:hAnsi="Tahoma" w:cs="Tahoma"/>
          <w:color w:val="009999"/>
          <w:sz w:val="14"/>
          <w:szCs w:val="14"/>
          <w14:textOutline w14:w="9525" w14:cap="rnd" w14:cmpd="sng" w14:algn="ctr">
            <w14:solidFill>
              <w14:srgbClr w14:val="009999"/>
            </w14:solidFill>
            <w14:prstDash w14:val="solid"/>
            <w14:bevel/>
          </w14:textOutline>
        </w:rPr>
      </w:pPr>
      <w:r w:rsidRPr="00774982">
        <w:rPr>
          <w:rFonts w:ascii="Tahoma" w:hAnsi="Tahoma" w:cs="Tahoma"/>
          <w:color w:val="009999"/>
          <w:sz w:val="14"/>
          <w:szCs w:val="14"/>
          <w14:textOutline w14:w="9525" w14:cap="rnd" w14:cmpd="sng" w14:algn="ctr">
            <w14:solidFill>
              <w14:srgbClr w14:val="009999"/>
            </w14:solidFill>
            <w14:prstDash w14:val="solid"/>
            <w14:bevel/>
          </w14:textOutline>
        </w:rPr>
        <w:lastRenderedPageBreak/>
        <w:t>Final del formulario</w:t>
      </w:r>
    </w:p>
    <w:sectPr w:rsidR="008308BE" w:rsidRPr="00774982" w:rsidSect="00774982">
      <w:type w:val="continuous"/>
      <w:pgSz w:w="11906" w:h="16838"/>
      <w:pgMar w:top="1134" w:right="991" w:bottom="1417" w:left="1134" w:header="708" w:footer="563" w:gutter="0"/>
      <w:cols w:num="2"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84D" w:rsidRDefault="0060184D" w:rsidP="00FA7C89">
      <w:pPr>
        <w:spacing w:after="0" w:line="240" w:lineRule="auto"/>
      </w:pPr>
      <w:r>
        <w:separator/>
      </w:r>
    </w:p>
  </w:endnote>
  <w:endnote w:type="continuationSeparator" w:id="0">
    <w:p w:rsidR="0060184D" w:rsidRDefault="0060184D"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Effra Light">
    <w:altName w:val="MS UI Gothic"/>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562" w:rsidRDefault="000204F1" w:rsidP="00A022A6">
    <w:pPr>
      <w:pStyle w:val="Piedepgina"/>
    </w:pPr>
    <w:r>
      <w:rPr>
        <w:noProof/>
        <w:lang w:val="es-EC" w:eastAsia="es-EC"/>
      </w:rPr>
      <mc:AlternateContent>
        <mc:Choice Requires="wps">
          <w:drawing>
            <wp:anchor distT="0" distB="0" distL="114300" distR="114300" simplePos="0" relativeHeight="251665408" behindDoc="0" locked="0" layoutInCell="1" allowOverlap="1" wp14:anchorId="488719D4" wp14:editId="01F6BE0D">
              <wp:simplePos x="0" y="0"/>
              <wp:positionH relativeFrom="column">
                <wp:posOffset>-720090</wp:posOffset>
              </wp:positionH>
              <wp:positionV relativeFrom="paragraph">
                <wp:posOffset>112766</wp:posOffset>
              </wp:positionV>
              <wp:extent cx="7573992" cy="0"/>
              <wp:effectExtent l="0" t="19050" r="8255" b="19050"/>
              <wp:wrapNone/>
              <wp:docPr id="3" name="3 Conector recto"/>
              <wp:cNvGraphicFramePr/>
              <a:graphic xmlns:a="http://schemas.openxmlformats.org/drawingml/2006/main">
                <a:graphicData uri="http://schemas.microsoft.com/office/word/2010/wordprocessingShape">
                  <wps:wsp>
                    <wps:cNvCnPr/>
                    <wps:spPr>
                      <a:xfrm>
                        <a:off x="0" y="0"/>
                        <a:ext cx="7573992" cy="0"/>
                      </a:xfrm>
                      <a:prstGeom prst="line">
                        <a:avLst/>
                      </a:prstGeom>
                      <a:ln w="28575">
                        <a:solidFill>
                          <a:srgbClr val="9933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3 Conector recto"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6.7pt,8.9pt" to="539.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" strokecolor="#936" strokeweight="2.25pt"/>
          </w:pict>
        </mc:Fallback>
      </mc:AlternateContent>
    </w:r>
  </w:p>
  <w:p w:rsidR="00054562" w:rsidRDefault="000204F1">
    <w:pPr>
      <w:pStyle w:val="Piedepgina"/>
    </w:pPr>
    <w:r>
      <w:rPr>
        <w:noProof/>
        <w:lang w:val="es-EC" w:eastAsia="es-EC"/>
      </w:rPr>
      <mc:AlternateContent>
        <mc:Choice Requires="wps">
          <w:drawing>
            <wp:anchor distT="0" distB="0" distL="114300" distR="114300" simplePos="0" relativeHeight="251667456" behindDoc="0" locked="0" layoutInCell="1" allowOverlap="1" wp14:anchorId="71E598A4" wp14:editId="101DB3F5">
              <wp:simplePos x="0" y="0"/>
              <wp:positionH relativeFrom="column">
                <wp:posOffset>-730885</wp:posOffset>
              </wp:positionH>
              <wp:positionV relativeFrom="paragraph">
                <wp:posOffset>2169</wp:posOffset>
              </wp:positionV>
              <wp:extent cx="7573645" cy="0"/>
              <wp:effectExtent l="0" t="19050" r="8255" b="19050"/>
              <wp:wrapNone/>
              <wp:docPr id="6" name="6 Conector recto"/>
              <wp:cNvGraphicFramePr/>
              <a:graphic xmlns:a="http://schemas.openxmlformats.org/drawingml/2006/main">
                <a:graphicData uri="http://schemas.microsoft.com/office/word/2010/wordprocessingShape">
                  <wps:wsp>
                    <wps:cNvCnPr/>
                    <wps:spPr>
                      <a:xfrm>
                        <a:off x="0" y="0"/>
                        <a:ext cx="7573645" cy="0"/>
                      </a:xfrm>
                      <a:prstGeom prst="line">
                        <a:avLst/>
                      </a:prstGeom>
                      <a:ln w="28575">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6 Conector recto"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7.55pt,.15pt" to="538.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" strokecolor="#3cc" strokeweight="2.25pt"/>
          </w:pict>
        </mc:Fallback>
      </mc:AlternateContent>
    </w:r>
    <w:r>
      <w:rPr>
        <w:noProof/>
        <w:lang w:val="es-EC" w:eastAsia="es-EC"/>
      </w:rPr>
      <mc:AlternateContent>
        <mc:Choice Requires="wps">
          <w:drawing>
            <wp:anchor distT="0" distB="0" distL="114300" distR="114300" simplePos="0" relativeHeight="251669504" behindDoc="0" locked="0" layoutInCell="1" allowOverlap="1" wp14:anchorId="5E8D8975" wp14:editId="76DF23F8">
              <wp:simplePos x="0" y="0"/>
              <wp:positionH relativeFrom="column">
                <wp:posOffset>-722630</wp:posOffset>
              </wp:positionH>
              <wp:positionV relativeFrom="paragraph">
                <wp:posOffset>366766</wp:posOffset>
              </wp:positionV>
              <wp:extent cx="7573992" cy="0"/>
              <wp:effectExtent l="0" t="19050" r="8255" b="19050"/>
              <wp:wrapNone/>
              <wp:docPr id="7" name="7 Conector recto"/>
              <wp:cNvGraphicFramePr/>
              <a:graphic xmlns:a="http://schemas.openxmlformats.org/drawingml/2006/main">
                <a:graphicData uri="http://schemas.microsoft.com/office/word/2010/wordprocessingShape">
                  <wps:wsp>
                    <wps:cNvCnPr/>
                    <wps:spPr>
                      <a:xfrm>
                        <a:off x="0" y="0"/>
                        <a:ext cx="7573992" cy="0"/>
                      </a:xfrm>
                      <a:prstGeom prst="line">
                        <a:avLst/>
                      </a:prstGeom>
                      <a:ln w="28575">
                        <a:solidFill>
                          <a:srgbClr val="0066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7 Conector recto"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6.9pt,28.9pt" to="53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" strokecolor="#066" strokeweight="2.25p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84D" w:rsidRDefault="0060184D" w:rsidP="00FA7C89">
      <w:pPr>
        <w:spacing w:after="0" w:line="240" w:lineRule="auto"/>
      </w:pPr>
      <w:r>
        <w:separator/>
      </w:r>
    </w:p>
  </w:footnote>
  <w:footnote w:type="continuationSeparator" w:id="0">
    <w:p w:rsidR="0060184D" w:rsidRDefault="0060184D"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4F1" w:rsidRPr="003F1E8D" w:rsidRDefault="006069B8">
    <w:pPr>
      <w:pStyle w:val="Encabezado"/>
      <w:jc w:val="right"/>
      <w:rPr>
        <w:rFonts w:ascii="Tahoma" w:hAnsi="Tahoma" w:cs="Tahoma"/>
        <w:b/>
        <w:color w:val="33CCCC"/>
        <w:sz w:val="24"/>
      </w:rPr>
    </w:pPr>
    <w:r w:rsidRPr="003F1E8D">
      <w:rPr>
        <w:rFonts w:ascii="Effra Light" w:hAnsi="Effra Light"/>
        <w:b/>
        <w:noProof/>
        <w:color w:val="33CCCC"/>
        <w:lang w:val="es-EC" w:eastAsia="es-EC"/>
      </w:rPr>
      <mc:AlternateContent>
        <mc:Choice Requires="wps">
          <w:drawing>
            <wp:anchor distT="0" distB="0" distL="114300" distR="114300" simplePos="0" relativeHeight="251672576" behindDoc="0" locked="0" layoutInCell="1" allowOverlap="1" wp14:anchorId="5383E6B8" wp14:editId="0636FAFD">
              <wp:simplePos x="0" y="0"/>
              <wp:positionH relativeFrom="column">
                <wp:posOffset>3489325</wp:posOffset>
              </wp:positionH>
              <wp:positionV relativeFrom="paragraph">
                <wp:posOffset>-35560</wp:posOffset>
              </wp:positionV>
              <wp:extent cx="2458085" cy="140398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noFill/>
                        <a:miter lim="800000"/>
                        <a:headEnd/>
                        <a:tailEnd/>
                      </a:ln>
                    </wps:spPr>
                    <wps:txbx>
                      <w:txbxContent>
                        <w:p w:rsidR="003F1E8D" w:rsidRPr="003F1E8D" w:rsidRDefault="003F1E8D" w:rsidP="003F1E8D">
                          <w:pPr>
                            <w:jc w:val="right"/>
                            <w:rPr>
                              <w:rFonts w:ascii="Tahoma" w:hAnsi="Tahoma" w:cs="Tahoma"/>
                              <w:b/>
                              <w:color w:val="009999"/>
                              <w:sz w:val="20"/>
                            </w:rPr>
                          </w:pPr>
                          <w:r w:rsidRPr="003F1E8D">
                            <w:rPr>
                              <w:rFonts w:ascii="Tahoma" w:hAnsi="Tahoma" w:cs="Tahoma"/>
                              <w:b/>
                              <w:noProof/>
                              <w:color w:val="33CCCC"/>
                            </w:rPr>
                            <w:t>TC Plus – Informativo Gerencial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74.75pt;margin-top:-2.8pt;width:193.55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" stroked="f">
              <v:textbox style="mso-fit-shape-to-text:t">
                <w:txbxContent>
                  <w:p w:rsidR="003F1E8D" w:rsidRPr="003F1E8D" w:rsidRDefault="003F1E8D" w:rsidP="003F1E8D">
                    <w:pPr>
                      <w:jc w:val="right"/>
                      <w:rPr>
                        <w:rFonts w:ascii="Tahoma" w:hAnsi="Tahoma" w:cs="Tahoma"/>
                        <w:b/>
                        <w:color w:val="009999"/>
                        <w:sz w:val="20"/>
                      </w:rPr>
                    </w:pPr>
                    <w:r w:rsidRPr="003F1E8D">
                      <w:rPr>
                        <w:rFonts w:ascii="Tahoma" w:hAnsi="Tahoma" w:cs="Tahoma"/>
                        <w:b/>
                        <w:noProof/>
                        <w:color w:val="33CCCC"/>
                      </w:rPr>
                      <w:t>TC Plus – Informativo Gerencial</w:t>
                    </w:r>
                  </w:p>
                </w:txbxContent>
              </v:textbox>
            </v:shape>
          </w:pict>
        </mc:Fallback>
      </mc:AlternateContent>
    </w:r>
    <w:r w:rsidRPr="003F1E8D">
      <w:rPr>
        <w:rFonts w:ascii="Tahoma" w:hAnsi="Tahoma" w:cs="Tahoma"/>
        <w:b/>
        <w:noProof/>
        <w:color w:val="33CCCC"/>
        <w:sz w:val="24"/>
        <w:lang w:val="es-EC" w:eastAsia="es-EC"/>
      </w:rPr>
      <mc:AlternateContent>
        <mc:Choice Requires="wps">
          <w:drawing>
            <wp:anchor distT="0" distB="0" distL="114300" distR="114300" simplePos="0" relativeHeight="251673600" behindDoc="0" locked="0" layoutInCell="1" allowOverlap="1" wp14:anchorId="06475CBC" wp14:editId="7ABD3AD6">
              <wp:simplePos x="0" y="0"/>
              <wp:positionH relativeFrom="column">
                <wp:posOffset>5945769</wp:posOffset>
              </wp:positionH>
              <wp:positionV relativeFrom="paragraph">
                <wp:posOffset>-635</wp:posOffset>
              </wp:positionV>
              <wp:extent cx="0" cy="482600"/>
              <wp:effectExtent l="0" t="0" r="19050" b="12700"/>
              <wp:wrapNone/>
              <wp:docPr id="9" name="9 Conector recto"/>
              <wp:cNvGraphicFramePr/>
              <a:graphic xmlns:a="http://schemas.openxmlformats.org/drawingml/2006/main">
                <a:graphicData uri="http://schemas.microsoft.com/office/word/2010/wordprocessingShape">
                  <wps:wsp>
                    <wps:cNvCnPr/>
                    <wps:spPr>
                      <a:xfrm>
                        <a:off x="0" y="0"/>
                        <a:ext cx="0" cy="482600"/>
                      </a:xfrm>
                      <a:prstGeom prst="line">
                        <a:avLst/>
                      </a:prstGeom>
                      <a:ln w="19050">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9 Conector recto"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8.15pt,-.05pt" to="468.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" strokecolor="#3cc" strokeweight="1.5pt"/>
          </w:pict>
        </mc:Fallback>
      </mc:AlternateContent>
    </w:r>
    <w:sdt>
      <w:sdtPr>
        <w:rPr>
          <w:rFonts w:ascii="Effra Light" w:hAnsi="Effra Light"/>
          <w:b/>
          <w:color w:val="33CCCC"/>
        </w:rPr>
        <w:id w:val="1424460480"/>
        <w:docPartObj>
          <w:docPartGallery w:val="Page Numbers (Top of Page)"/>
          <w:docPartUnique/>
        </w:docPartObj>
      </w:sdtPr>
      <w:sdtEndPr>
        <w:rPr>
          <w:rFonts w:ascii="Tahoma" w:hAnsi="Tahoma" w:cs="Tahoma"/>
          <w:sz w:val="24"/>
        </w:rPr>
      </w:sdtEndPr>
      <w:sdtContent>
        <w:r w:rsidR="000204F1" w:rsidRPr="003F1E8D">
          <w:rPr>
            <w:rFonts w:ascii="Tahoma" w:hAnsi="Tahoma" w:cs="Tahoma"/>
            <w:b/>
            <w:color w:val="33CCCC"/>
            <w:sz w:val="24"/>
          </w:rPr>
          <w:fldChar w:fldCharType="begin"/>
        </w:r>
        <w:r w:rsidR="000204F1" w:rsidRPr="003F1E8D">
          <w:rPr>
            <w:rFonts w:ascii="Tahoma" w:hAnsi="Tahoma" w:cs="Tahoma"/>
            <w:b/>
            <w:color w:val="33CCCC"/>
            <w:sz w:val="24"/>
          </w:rPr>
          <w:instrText>PAGE   \* MERGEFORMAT</w:instrText>
        </w:r>
        <w:r w:rsidR="000204F1" w:rsidRPr="003F1E8D">
          <w:rPr>
            <w:rFonts w:ascii="Tahoma" w:hAnsi="Tahoma" w:cs="Tahoma"/>
            <w:b/>
            <w:color w:val="33CCCC"/>
            <w:sz w:val="24"/>
          </w:rPr>
          <w:fldChar w:fldCharType="separate"/>
        </w:r>
        <w:r w:rsidR="00E434C5">
          <w:rPr>
            <w:rFonts w:ascii="Tahoma" w:hAnsi="Tahoma" w:cs="Tahoma"/>
            <w:b/>
            <w:noProof/>
            <w:color w:val="33CCCC"/>
            <w:sz w:val="24"/>
          </w:rPr>
          <w:t>6</w:t>
        </w:r>
        <w:r w:rsidR="000204F1" w:rsidRPr="003F1E8D">
          <w:rPr>
            <w:rFonts w:ascii="Tahoma" w:hAnsi="Tahoma" w:cs="Tahoma"/>
            <w:b/>
            <w:color w:val="33CCCC"/>
            <w:sz w:val="24"/>
          </w:rPr>
          <w:fldChar w:fldCharType="end"/>
        </w:r>
      </w:sdtContent>
    </w:sdt>
  </w:p>
  <w:p w:rsidR="00054562" w:rsidRDefault="00054562" w:rsidP="003F1E8D">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8.85pt;height:8.85pt" o:bullet="t">
        <v:imagedata r:id="rId1" o:title="BD15059_"/>
      </v:shape>
    </w:pict>
  </w:numPicBullet>
  <w:abstractNum w:abstractNumId="0">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0E53A67"/>
    <w:multiLevelType w:val="hybridMultilevel"/>
    <w:tmpl w:val="62EA042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88C5249"/>
    <w:multiLevelType w:val="hybridMultilevel"/>
    <w:tmpl w:val="005E674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6"/>
  </w:num>
  <w:num w:numId="4">
    <w:abstractNumId w:val="5"/>
  </w:num>
  <w:num w:numId="5">
    <w:abstractNumId w:val="8"/>
  </w:num>
  <w:num w:numId="6">
    <w:abstractNumId w:val="18"/>
  </w:num>
  <w:num w:numId="7">
    <w:abstractNumId w:val="15"/>
  </w:num>
  <w:num w:numId="8">
    <w:abstractNumId w:val="9"/>
  </w:num>
  <w:num w:numId="9">
    <w:abstractNumId w:val="22"/>
  </w:num>
  <w:num w:numId="10">
    <w:abstractNumId w:val="14"/>
  </w:num>
  <w:num w:numId="11">
    <w:abstractNumId w:val="3"/>
  </w:num>
  <w:num w:numId="12">
    <w:abstractNumId w:val="19"/>
  </w:num>
  <w:num w:numId="13">
    <w:abstractNumId w:val="6"/>
  </w:num>
  <w:num w:numId="14">
    <w:abstractNumId w:val="1"/>
  </w:num>
  <w:num w:numId="15">
    <w:abstractNumId w:val="4"/>
  </w:num>
  <w:num w:numId="16">
    <w:abstractNumId w:val="17"/>
  </w:num>
  <w:num w:numId="17">
    <w:abstractNumId w:val="0"/>
  </w:num>
  <w:num w:numId="18">
    <w:abstractNumId w:val="2"/>
  </w:num>
  <w:num w:numId="19">
    <w:abstractNumId w:val="12"/>
  </w:num>
  <w:num w:numId="20">
    <w:abstractNumId w:val="11"/>
  </w:num>
  <w:num w:numId="21">
    <w:abstractNumId w:val="13"/>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07561"/>
    <w:rsid w:val="00016CC2"/>
    <w:rsid w:val="000204F1"/>
    <w:rsid w:val="000249D0"/>
    <w:rsid w:val="00047711"/>
    <w:rsid w:val="00054562"/>
    <w:rsid w:val="00057238"/>
    <w:rsid w:val="000A016C"/>
    <w:rsid w:val="000A6E5B"/>
    <w:rsid w:val="000B6A27"/>
    <w:rsid w:val="000E16D4"/>
    <w:rsid w:val="00104398"/>
    <w:rsid w:val="00120A3B"/>
    <w:rsid w:val="00120A63"/>
    <w:rsid w:val="001221EE"/>
    <w:rsid w:val="00127E30"/>
    <w:rsid w:val="00153EF0"/>
    <w:rsid w:val="001608C7"/>
    <w:rsid w:val="001608E0"/>
    <w:rsid w:val="00167C86"/>
    <w:rsid w:val="0018394A"/>
    <w:rsid w:val="00191F71"/>
    <w:rsid w:val="00196CB9"/>
    <w:rsid w:val="001D5DA4"/>
    <w:rsid w:val="001E2646"/>
    <w:rsid w:val="001E43B5"/>
    <w:rsid w:val="001F46FF"/>
    <w:rsid w:val="001F74D3"/>
    <w:rsid w:val="00200B82"/>
    <w:rsid w:val="00200E53"/>
    <w:rsid w:val="00201594"/>
    <w:rsid w:val="00221DF9"/>
    <w:rsid w:val="00225CC5"/>
    <w:rsid w:val="00245227"/>
    <w:rsid w:val="00257BB4"/>
    <w:rsid w:val="00261819"/>
    <w:rsid w:val="00275878"/>
    <w:rsid w:val="00281E6C"/>
    <w:rsid w:val="0028394A"/>
    <w:rsid w:val="00287C0E"/>
    <w:rsid w:val="002A643D"/>
    <w:rsid w:val="002A7F64"/>
    <w:rsid w:val="002C4431"/>
    <w:rsid w:val="002D61D9"/>
    <w:rsid w:val="002D7D05"/>
    <w:rsid w:val="002E3C88"/>
    <w:rsid w:val="002E7403"/>
    <w:rsid w:val="002F3775"/>
    <w:rsid w:val="00303974"/>
    <w:rsid w:val="0031033D"/>
    <w:rsid w:val="003307D4"/>
    <w:rsid w:val="00333905"/>
    <w:rsid w:val="0033538F"/>
    <w:rsid w:val="0035445D"/>
    <w:rsid w:val="00361F3F"/>
    <w:rsid w:val="003629FC"/>
    <w:rsid w:val="00374AA7"/>
    <w:rsid w:val="003962A0"/>
    <w:rsid w:val="00396A35"/>
    <w:rsid w:val="003A351C"/>
    <w:rsid w:val="003C0854"/>
    <w:rsid w:val="003D07E0"/>
    <w:rsid w:val="003D737D"/>
    <w:rsid w:val="003F1E8D"/>
    <w:rsid w:val="003F4C44"/>
    <w:rsid w:val="004038C7"/>
    <w:rsid w:val="00431533"/>
    <w:rsid w:val="004577A2"/>
    <w:rsid w:val="00466AFF"/>
    <w:rsid w:val="00470FB6"/>
    <w:rsid w:val="0047606E"/>
    <w:rsid w:val="004A192C"/>
    <w:rsid w:val="004A5007"/>
    <w:rsid w:val="004B04D9"/>
    <w:rsid w:val="004B386D"/>
    <w:rsid w:val="004B4794"/>
    <w:rsid w:val="004B5949"/>
    <w:rsid w:val="004C4C63"/>
    <w:rsid w:val="004C7904"/>
    <w:rsid w:val="004D356A"/>
    <w:rsid w:val="004D59A4"/>
    <w:rsid w:val="00514FB1"/>
    <w:rsid w:val="0051518E"/>
    <w:rsid w:val="00522C35"/>
    <w:rsid w:val="00531037"/>
    <w:rsid w:val="005315EB"/>
    <w:rsid w:val="00557819"/>
    <w:rsid w:val="00567DB2"/>
    <w:rsid w:val="00573C51"/>
    <w:rsid w:val="00575233"/>
    <w:rsid w:val="005802A4"/>
    <w:rsid w:val="005850DF"/>
    <w:rsid w:val="005A398B"/>
    <w:rsid w:val="005B5D4F"/>
    <w:rsid w:val="005D46C6"/>
    <w:rsid w:val="0060184D"/>
    <w:rsid w:val="006069B8"/>
    <w:rsid w:val="00617C5C"/>
    <w:rsid w:val="00634277"/>
    <w:rsid w:val="006447B2"/>
    <w:rsid w:val="0066247A"/>
    <w:rsid w:val="0067367F"/>
    <w:rsid w:val="00693295"/>
    <w:rsid w:val="006A2881"/>
    <w:rsid w:val="006B4CE5"/>
    <w:rsid w:val="006C4BEB"/>
    <w:rsid w:val="006C6F05"/>
    <w:rsid w:val="006D6667"/>
    <w:rsid w:val="006D7EC6"/>
    <w:rsid w:val="006F15AD"/>
    <w:rsid w:val="006F2282"/>
    <w:rsid w:val="00701FFB"/>
    <w:rsid w:val="00710602"/>
    <w:rsid w:val="00713805"/>
    <w:rsid w:val="007157F6"/>
    <w:rsid w:val="007178D8"/>
    <w:rsid w:val="00726252"/>
    <w:rsid w:val="0072669E"/>
    <w:rsid w:val="00734539"/>
    <w:rsid w:val="007416EE"/>
    <w:rsid w:val="007441D8"/>
    <w:rsid w:val="00745E47"/>
    <w:rsid w:val="00754D12"/>
    <w:rsid w:val="00774982"/>
    <w:rsid w:val="0078334E"/>
    <w:rsid w:val="007912B7"/>
    <w:rsid w:val="007A674C"/>
    <w:rsid w:val="007D22FB"/>
    <w:rsid w:val="007D58A7"/>
    <w:rsid w:val="007D6C27"/>
    <w:rsid w:val="007E1875"/>
    <w:rsid w:val="007E3EA3"/>
    <w:rsid w:val="007E5616"/>
    <w:rsid w:val="007F6A17"/>
    <w:rsid w:val="00807073"/>
    <w:rsid w:val="00823464"/>
    <w:rsid w:val="008273EC"/>
    <w:rsid w:val="008308BE"/>
    <w:rsid w:val="00837949"/>
    <w:rsid w:val="00837A49"/>
    <w:rsid w:val="00841585"/>
    <w:rsid w:val="0085644C"/>
    <w:rsid w:val="008A4AAF"/>
    <w:rsid w:val="008A6A94"/>
    <w:rsid w:val="008B73CB"/>
    <w:rsid w:val="008E0723"/>
    <w:rsid w:val="008E16D7"/>
    <w:rsid w:val="008F1247"/>
    <w:rsid w:val="008F1C8C"/>
    <w:rsid w:val="00924293"/>
    <w:rsid w:val="00924AC5"/>
    <w:rsid w:val="00931308"/>
    <w:rsid w:val="00931822"/>
    <w:rsid w:val="00934193"/>
    <w:rsid w:val="00936667"/>
    <w:rsid w:val="009377E2"/>
    <w:rsid w:val="00945A0C"/>
    <w:rsid w:val="00946F02"/>
    <w:rsid w:val="00951B6E"/>
    <w:rsid w:val="00961502"/>
    <w:rsid w:val="00962424"/>
    <w:rsid w:val="00964863"/>
    <w:rsid w:val="0097165A"/>
    <w:rsid w:val="0098393D"/>
    <w:rsid w:val="0098422F"/>
    <w:rsid w:val="00991D11"/>
    <w:rsid w:val="00995407"/>
    <w:rsid w:val="00995589"/>
    <w:rsid w:val="009B2B7A"/>
    <w:rsid w:val="009B6CA7"/>
    <w:rsid w:val="009C79B1"/>
    <w:rsid w:val="009F06BF"/>
    <w:rsid w:val="00A022A6"/>
    <w:rsid w:val="00A04CD0"/>
    <w:rsid w:val="00A05B77"/>
    <w:rsid w:val="00A05CF4"/>
    <w:rsid w:val="00A118C2"/>
    <w:rsid w:val="00A2163B"/>
    <w:rsid w:val="00A31038"/>
    <w:rsid w:val="00A32B74"/>
    <w:rsid w:val="00A35DEA"/>
    <w:rsid w:val="00A461F9"/>
    <w:rsid w:val="00A67087"/>
    <w:rsid w:val="00A72851"/>
    <w:rsid w:val="00A73341"/>
    <w:rsid w:val="00A741D5"/>
    <w:rsid w:val="00A74DF5"/>
    <w:rsid w:val="00A75150"/>
    <w:rsid w:val="00A76978"/>
    <w:rsid w:val="00A804B0"/>
    <w:rsid w:val="00A80C91"/>
    <w:rsid w:val="00A9785A"/>
    <w:rsid w:val="00AA4691"/>
    <w:rsid w:val="00AA6657"/>
    <w:rsid w:val="00AC5D7D"/>
    <w:rsid w:val="00AD7D8C"/>
    <w:rsid w:val="00AE6DC0"/>
    <w:rsid w:val="00AF07DA"/>
    <w:rsid w:val="00AF33C6"/>
    <w:rsid w:val="00B012D5"/>
    <w:rsid w:val="00B21CF7"/>
    <w:rsid w:val="00B55102"/>
    <w:rsid w:val="00B60037"/>
    <w:rsid w:val="00B67BD5"/>
    <w:rsid w:val="00B8273A"/>
    <w:rsid w:val="00BA09F5"/>
    <w:rsid w:val="00BC48FA"/>
    <w:rsid w:val="00BD0952"/>
    <w:rsid w:val="00BD7D83"/>
    <w:rsid w:val="00BE2E25"/>
    <w:rsid w:val="00BE763F"/>
    <w:rsid w:val="00BF3DF8"/>
    <w:rsid w:val="00C1167E"/>
    <w:rsid w:val="00C15040"/>
    <w:rsid w:val="00C15B89"/>
    <w:rsid w:val="00C258EA"/>
    <w:rsid w:val="00C33451"/>
    <w:rsid w:val="00C5377E"/>
    <w:rsid w:val="00C53F30"/>
    <w:rsid w:val="00C737F2"/>
    <w:rsid w:val="00C81C95"/>
    <w:rsid w:val="00CA0E85"/>
    <w:rsid w:val="00CA445F"/>
    <w:rsid w:val="00CC0E46"/>
    <w:rsid w:val="00CE37F5"/>
    <w:rsid w:val="00CF54FE"/>
    <w:rsid w:val="00D06451"/>
    <w:rsid w:val="00D141D3"/>
    <w:rsid w:val="00D16194"/>
    <w:rsid w:val="00D243FF"/>
    <w:rsid w:val="00D313D2"/>
    <w:rsid w:val="00D31BD2"/>
    <w:rsid w:val="00D81419"/>
    <w:rsid w:val="00D91301"/>
    <w:rsid w:val="00DD6BCE"/>
    <w:rsid w:val="00DE0C15"/>
    <w:rsid w:val="00E06501"/>
    <w:rsid w:val="00E06929"/>
    <w:rsid w:val="00E1167C"/>
    <w:rsid w:val="00E1211C"/>
    <w:rsid w:val="00E13DC2"/>
    <w:rsid w:val="00E262EE"/>
    <w:rsid w:val="00E434C5"/>
    <w:rsid w:val="00E5046B"/>
    <w:rsid w:val="00E53F2D"/>
    <w:rsid w:val="00E638E1"/>
    <w:rsid w:val="00E67BF8"/>
    <w:rsid w:val="00E745FE"/>
    <w:rsid w:val="00E8642A"/>
    <w:rsid w:val="00EA55D4"/>
    <w:rsid w:val="00EC3B96"/>
    <w:rsid w:val="00ED78A4"/>
    <w:rsid w:val="00ED7D76"/>
    <w:rsid w:val="00EE2CFE"/>
    <w:rsid w:val="00EE7884"/>
    <w:rsid w:val="00EF2CDF"/>
    <w:rsid w:val="00F00167"/>
    <w:rsid w:val="00F241EA"/>
    <w:rsid w:val="00F24786"/>
    <w:rsid w:val="00F307F9"/>
    <w:rsid w:val="00F353F2"/>
    <w:rsid w:val="00F414FB"/>
    <w:rsid w:val="00F432E4"/>
    <w:rsid w:val="00F53E68"/>
    <w:rsid w:val="00F70EE9"/>
    <w:rsid w:val="00FA0417"/>
    <w:rsid w:val="00FA7C89"/>
    <w:rsid w:val="00FC206F"/>
    <w:rsid w:val="00FC46BF"/>
    <w:rsid w:val="00FD11DB"/>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48966701">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223374665">
      <w:bodyDiv w:val="1"/>
      <w:marLeft w:val="0"/>
      <w:marRight w:val="0"/>
      <w:marTop w:val="0"/>
      <w:marBottom w:val="0"/>
      <w:divBdr>
        <w:top w:val="none" w:sz="0" w:space="0" w:color="auto"/>
        <w:left w:val="none" w:sz="0" w:space="0" w:color="auto"/>
        <w:bottom w:val="none" w:sz="0" w:space="0" w:color="auto"/>
        <w:right w:val="none" w:sz="0" w:space="0" w:color="auto"/>
      </w:divBdr>
    </w:div>
    <w:div w:id="239828951">
      <w:bodyDiv w:val="1"/>
      <w:marLeft w:val="0"/>
      <w:marRight w:val="0"/>
      <w:marTop w:val="0"/>
      <w:marBottom w:val="0"/>
      <w:divBdr>
        <w:top w:val="none" w:sz="0" w:space="0" w:color="auto"/>
        <w:left w:val="none" w:sz="0" w:space="0" w:color="auto"/>
        <w:bottom w:val="none" w:sz="0" w:space="0" w:color="auto"/>
        <w:right w:val="none" w:sz="0" w:space="0" w:color="auto"/>
      </w:divBdr>
    </w:div>
    <w:div w:id="265701974">
      <w:bodyDiv w:val="1"/>
      <w:marLeft w:val="0"/>
      <w:marRight w:val="0"/>
      <w:marTop w:val="0"/>
      <w:marBottom w:val="0"/>
      <w:divBdr>
        <w:top w:val="none" w:sz="0" w:space="0" w:color="auto"/>
        <w:left w:val="none" w:sz="0" w:space="0" w:color="auto"/>
        <w:bottom w:val="none" w:sz="0" w:space="0" w:color="auto"/>
        <w:right w:val="none" w:sz="0" w:space="0" w:color="auto"/>
      </w:divBdr>
    </w:div>
    <w:div w:id="281235001">
      <w:bodyDiv w:val="1"/>
      <w:marLeft w:val="0"/>
      <w:marRight w:val="0"/>
      <w:marTop w:val="0"/>
      <w:marBottom w:val="0"/>
      <w:divBdr>
        <w:top w:val="none" w:sz="0" w:space="0" w:color="auto"/>
        <w:left w:val="none" w:sz="0" w:space="0" w:color="auto"/>
        <w:bottom w:val="none" w:sz="0" w:space="0" w:color="auto"/>
        <w:right w:val="none" w:sz="0" w:space="0" w:color="auto"/>
      </w:divBdr>
    </w:div>
    <w:div w:id="289871685">
      <w:bodyDiv w:val="1"/>
      <w:marLeft w:val="0"/>
      <w:marRight w:val="0"/>
      <w:marTop w:val="0"/>
      <w:marBottom w:val="0"/>
      <w:divBdr>
        <w:top w:val="none" w:sz="0" w:space="0" w:color="auto"/>
        <w:left w:val="none" w:sz="0" w:space="0" w:color="auto"/>
        <w:bottom w:val="none" w:sz="0" w:space="0" w:color="auto"/>
        <w:right w:val="none" w:sz="0" w:space="0" w:color="auto"/>
      </w:divBdr>
    </w:div>
    <w:div w:id="339896247">
      <w:bodyDiv w:val="1"/>
      <w:marLeft w:val="0"/>
      <w:marRight w:val="0"/>
      <w:marTop w:val="0"/>
      <w:marBottom w:val="0"/>
      <w:divBdr>
        <w:top w:val="none" w:sz="0" w:space="0" w:color="auto"/>
        <w:left w:val="none" w:sz="0" w:space="0" w:color="auto"/>
        <w:bottom w:val="none" w:sz="0" w:space="0" w:color="auto"/>
        <w:right w:val="none" w:sz="0" w:space="0" w:color="auto"/>
      </w:divBdr>
      <w:divsChild>
        <w:div w:id="2107919095">
          <w:marLeft w:val="0"/>
          <w:marRight w:val="0"/>
          <w:marTop w:val="0"/>
          <w:marBottom w:val="0"/>
          <w:divBdr>
            <w:top w:val="single" w:sz="6" w:space="0" w:color="FFFFFF"/>
            <w:left w:val="single" w:sz="6" w:space="0" w:color="FFFFFF"/>
            <w:bottom w:val="single" w:sz="6" w:space="0" w:color="FFFFFF"/>
            <w:right w:val="single" w:sz="6" w:space="0" w:color="FFFFFF"/>
          </w:divBdr>
          <w:divsChild>
            <w:div w:id="3751432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12594243">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32174229">
      <w:bodyDiv w:val="1"/>
      <w:marLeft w:val="0"/>
      <w:marRight w:val="0"/>
      <w:marTop w:val="0"/>
      <w:marBottom w:val="0"/>
      <w:divBdr>
        <w:top w:val="none" w:sz="0" w:space="0" w:color="auto"/>
        <w:left w:val="none" w:sz="0" w:space="0" w:color="auto"/>
        <w:bottom w:val="none" w:sz="0" w:space="0" w:color="auto"/>
        <w:right w:val="none" w:sz="0" w:space="0" w:color="auto"/>
      </w:divBdr>
      <w:divsChild>
        <w:div w:id="394161277">
          <w:marLeft w:val="0"/>
          <w:marRight w:val="0"/>
          <w:marTop w:val="0"/>
          <w:marBottom w:val="0"/>
          <w:divBdr>
            <w:top w:val="none" w:sz="0" w:space="0" w:color="auto"/>
            <w:left w:val="none" w:sz="0" w:space="0" w:color="auto"/>
            <w:bottom w:val="none" w:sz="0" w:space="0" w:color="auto"/>
            <w:right w:val="none" w:sz="0" w:space="0" w:color="auto"/>
          </w:divBdr>
          <w:divsChild>
            <w:div w:id="2096588628">
              <w:marLeft w:val="0"/>
              <w:marRight w:val="0"/>
              <w:marTop w:val="0"/>
              <w:marBottom w:val="0"/>
              <w:divBdr>
                <w:top w:val="none" w:sz="0" w:space="0" w:color="auto"/>
                <w:left w:val="none" w:sz="0" w:space="0" w:color="auto"/>
                <w:bottom w:val="none" w:sz="0" w:space="0" w:color="auto"/>
                <w:right w:val="none" w:sz="0" w:space="0" w:color="auto"/>
              </w:divBdr>
              <w:divsChild>
                <w:div w:id="1519537557">
                  <w:marLeft w:val="0"/>
                  <w:marRight w:val="0"/>
                  <w:marTop w:val="0"/>
                  <w:marBottom w:val="0"/>
                  <w:divBdr>
                    <w:top w:val="none" w:sz="0" w:space="0" w:color="auto"/>
                    <w:left w:val="none" w:sz="0" w:space="0" w:color="auto"/>
                    <w:bottom w:val="none" w:sz="0" w:space="0" w:color="auto"/>
                    <w:right w:val="none" w:sz="0" w:space="0" w:color="auto"/>
                  </w:divBdr>
                  <w:divsChild>
                    <w:div w:id="2112701657">
                      <w:marLeft w:val="0"/>
                      <w:marRight w:val="0"/>
                      <w:marTop w:val="0"/>
                      <w:marBottom w:val="0"/>
                      <w:divBdr>
                        <w:top w:val="none" w:sz="0" w:space="0" w:color="auto"/>
                        <w:left w:val="none" w:sz="0" w:space="0" w:color="auto"/>
                        <w:bottom w:val="none" w:sz="0" w:space="0" w:color="auto"/>
                        <w:right w:val="none" w:sz="0" w:space="0" w:color="auto"/>
                      </w:divBdr>
                      <w:divsChild>
                        <w:div w:id="1058942442">
                          <w:marLeft w:val="0"/>
                          <w:marRight w:val="0"/>
                          <w:marTop w:val="0"/>
                          <w:marBottom w:val="0"/>
                          <w:divBdr>
                            <w:top w:val="none" w:sz="0" w:space="0" w:color="auto"/>
                            <w:left w:val="none" w:sz="0" w:space="0" w:color="auto"/>
                            <w:bottom w:val="none" w:sz="0" w:space="0" w:color="auto"/>
                            <w:right w:val="none" w:sz="0" w:space="0" w:color="auto"/>
                          </w:divBdr>
                          <w:divsChild>
                            <w:div w:id="158037970">
                              <w:marLeft w:val="0"/>
                              <w:marRight w:val="0"/>
                              <w:marTop w:val="0"/>
                              <w:marBottom w:val="0"/>
                              <w:divBdr>
                                <w:top w:val="none" w:sz="0" w:space="0" w:color="auto"/>
                                <w:left w:val="none" w:sz="0" w:space="0" w:color="auto"/>
                                <w:bottom w:val="none" w:sz="0" w:space="0" w:color="auto"/>
                                <w:right w:val="none" w:sz="0" w:space="0" w:color="auto"/>
                              </w:divBdr>
                            </w:div>
                            <w:div w:id="794760348">
                              <w:marLeft w:val="0"/>
                              <w:marRight w:val="0"/>
                              <w:marTop w:val="0"/>
                              <w:marBottom w:val="0"/>
                              <w:divBdr>
                                <w:top w:val="none" w:sz="0" w:space="0" w:color="auto"/>
                                <w:left w:val="none" w:sz="0" w:space="0" w:color="auto"/>
                                <w:bottom w:val="none" w:sz="0" w:space="0" w:color="auto"/>
                                <w:right w:val="none" w:sz="0" w:space="0" w:color="auto"/>
                              </w:divBdr>
                              <w:divsChild>
                                <w:div w:id="565996249">
                                  <w:marLeft w:val="0"/>
                                  <w:marRight w:val="0"/>
                                  <w:marTop w:val="0"/>
                                  <w:marBottom w:val="0"/>
                                  <w:divBdr>
                                    <w:top w:val="none" w:sz="0" w:space="0" w:color="auto"/>
                                    <w:left w:val="none" w:sz="0" w:space="0" w:color="auto"/>
                                    <w:bottom w:val="none" w:sz="0" w:space="0" w:color="auto"/>
                                    <w:right w:val="none" w:sz="0" w:space="0" w:color="auto"/>
                                  </w:divBdr>
                                  <w:divsChild>
                                    <w:div w:id="1614432512">
                                      <w:marLeft w:val="0"/>
                                      <w:marRight w:val="0"/>
                                      <w:marTop w:val="0"/>
                                      <w:marBottom w:val="0"/>
                                      <w:divBdr>
                                        <w:top w:val="none" w:sz="0" w:space="0" w:color="auto"/>
                                        <w:left w:val="none" w:sz="0" w:space="0" w:color="auto"/>
                                        <w:bottom w:val="none" w:sz="0" w:space="0" w:color="auto"/>
                                        <w:right w:val="none" w:sz="0" w:space="0" w:color="auto"/>
                                      </w:divBdr>
                                      <w:divsChild>
                                        <w:div w:id="350185929">
                                          <w:marLeft w:val="0"/>
                                          <w:marRight w:val="0"/>
                                          <w:marTop w:val="0"/>
                                          <w:marBottom w:val="0"/>
                                          <w:divBdr>
                                            <w:top w:val="none" w:sz="0" w:space="0" w:color="auto"/>
                                            <w:left w:val="none" w:sz="0" w:space="0" w:color="auto"/>
                                            <w:bottom w:val="none" w:sz="0" w:space="0" w:color="auto"/>
                                            <w:right w:val="none" w:sz="0" w:space="0" w:color="auto"/>
                                          </w:divBdr>
                                          <w:divsChild>
                                            <w:div w:id="1631129952">
                                              <w:marLeft w:val="0"/>
                                              <w:marRight w:val="0"/>
                                              <w:marTop w:val="0"/>
                                              <w:marBottom w:val="0"/>
                                              <w:divBdr>
                                                <w:top w:val="none" w:sz="0" w:space="0" w:color="auto"/>
                                                <w:left w:val="none" w:sz="0" w:space="0" w:color="auto"/>
                                                <w:bottom w:val="none" w:sz="0" w:space="0" w:color="auto"/>
                                                <w:right w:val="none" w:sz="0" w:space="0" w:color="auto"/>
                                              </w:divBdr>
                                              <w:divsChild>
                                                <w:div w:id="13025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691489541">
      <w:bodyDiv w:val="1"/>
      <w:marLeft w:val="0"/>
      <w:marRight w:val="0"/>
      <w:marTop w:val="0"/>
      <w:marBottom w:val="0"/>
      <w:divBdr>
        <w:top w:val="none" w:sz="0" w:space="0" w:color="auto"/>
        <w:left w:val="none" w:sz="0" w:space="0" w:color="auto"/>
        <w:bottom w:val="none" w:sz="0" w:space="0" w:color="auto"/>
        <w:right w:val="none" w:sz="0" w:space="0" w:color="auto"/>
      </w:divBdr>
      <w:divsChild>
        <w:div w:id="1723291424">
          <w:marLeft w:val="0"/>
          <w:marRight w:val="0"/>
          <w:marTop w:val="0"/>
          <w:marBottom w:val="0"/>
          <w:divBdr>
            <w:top w:val="single" w:sz="6" w:space="0" w:color="FFFFFF"/>
            <w:left w:val="single" w:sz="6" w:space="0" w:color="FFFFFF"/>
            <w:bottom w:val="single" w:sz="6" w:space="0" w:color="FFFFFF"/>
            <w:right w:val="single" w:sz="6" w:space="0" w:color="FFFFFF"/>
          </w:divBdr>
        </w:div>
        <w:div w:id="2000305525">
          <w:marLeft w:val="0"/>
          <w:marRight w:val="0"/>
          <w:marTop w:val="0"/>
          <w:marBottom w:val="0"/>
          <w:divBdr>
            <w:top w:val="single" w:sz="6" w:space="0" w:color="FFFFFF"/>
            <w:left w:val="single" w:sz="6" w:space="0" w:color="FFFFFF"/>
            <w:bottom w:val="single" w:sz="6" w:space="0" w:color="FFFFFF"/>
            <w:right w:val="single" w:sz="6" w:space="0" w:color="FFFFFF"/>
          </w:divBdr>
        </w:div>
        <w:div w:id="903642629">
          <w:marLeft w:val="0"/>
          <w:marRight w:val="0"/>
          <w:marTop w:val="0"/>
          <w:marBottom w:val="0"/>
          <w:divBdr>
            <w:top w:val="single" w:sz="6" w:space="0" w:color="FFFFFF"/>
            <w:left w:val="single" w:sz="6" w:space="0" w:color="FFFFFF"/>
            <w:bottom w:val="single" w:sz="6" w:space="0" w:color="FFFFFF"/>
            <w:right w:val="single" w:sz="6" w:space="0" w:color="FFFFFF"/>
          </w:divBdr>
          <w:divsChild>
            <w:div w:id="15560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39406150">
      <w:bodyDiv w:val="1"/>
      <w:marLeft w:val="0"/>
      <w:marRight w:val="0"/>
      <w:marTop w:val="0"/>
      <w:marBottom w:val="0"/>
      <w:divBdr>
        <w:top w:val="none" w:sz="0" w:space="0" w:color="auto"/>
        <w:left w:val="none" w:sz="0" w:space="0" w:color="auto"/>
        <w:bottom w:val="none" w:sz="0" w:space="0" w:color="auto"/>
        <w:right w:val="none" w:sz="0" w:space="0" w:color="auto"/>
      </w:divBdr>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48700650">
      <w:bodyDiv w:val="1"/>
      <w:marLeft w:val="0"/>
      <w:marRight w:val="0"/>
      <w:marTop w:val="0"/>
      <w:marBottom w:val="0"/>
      <w:divBdr>
        <w:top w:val="none" w:sz="0" w:space="0" w:color="auto"/>
        <w:left w:val="none" w:sz="0" w:space="0" w:color="auto"/>
        <w:bottom w:val="none" w:sz="0" w:space="0" w:color="auto"/>
        <w:right w:val="none" w:sz="0" w:space="0" w:color="auto"/>
      </w:divBdr>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162508958">
      <w:bodyDiv w:val="1"/>
      <w:marLeft w:val="0"/>
      <w:marRight w:val="0"/>
      <w:marTop w:val="0"/>
      <w:marBottom w:val="0"/>
      <w:divBdr>
        <w:top w:val="none" w:sz="0" w:space="0" w:color="auto"/>
        <w:left w:val="none" w:sz="0" w:space="0" w:color="auto"/>
        <w:bottom w:val="none" w:sz="0" w:space="0" w:color="auto"/>
        <w:right w:val="none" w:sz="0" w:space="0" w:color="auto"/>
      </w:divBdr>
      <w:divsChild>
        <w:div w:id="115410660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196508313">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383792770">
      <w:bodyDiv w:val="1"/>
      <w:marLeft w:val="0"/>
      <w:marRight w:val="0"/>
      <w:marTop w:val="0"/>
      <w:marBottom w:val="0"/>
      <w:divBdr>
        <w:top w:val="none" w:sz="0" w:space="0" w:color="auto"/>
        <w:left w:val="none" w:sz="0" w:space="0" w:color="auto"/>
        <w:bottom w:val="none" w:sz="0" w:space="0" w:color="auto"/>
        <w:right w:val="none" w:sz="0" w:space="0" w:color="auto"/>
      </w:divBdr>
    </w:div>
    <w:div w:id="1403406001">
      <w:bodyDiv w:val="1"/>
      <w:marLeft w:val="0"/>
      <w:marRight w:val="0"/>
      <w:marTop w:val="0"/>
      <w:marBottom w:val="0"/>
      <w:divBdr>
        <w:top w:val="none" w:sz="0" w:space="0" w:color="auto"/>
        <w:left w:val="none" w:sz="0" w:space="0" w:color="auto"/>
        <w:bottom w:val="none" w:sz="0" w:space="0" w:color="auto"/>
        <w:right w:val="none" w:sz="0" w:space="0" w:color="auto"/>
      </w:divBdr>
      <w:divsChild>
        <w:div w:id="1113331786">
          <w:marLeft w:val="0"/>
          <w:marRight w:val="0"/>
          <w:marTop w:val="0"/>
          <w:marBottom w:val="0"/>
          <w:divBdr>
            <w:top w:val="single" w:sz="6" w:space="0" w:color="FFFFFF"/>
            <w:left w:val="single" w:sz="6" w:space="0" w:color="FFFFFF"/>
            <w:bottom w:val="single" w:sz="6" w:space="0" w:color="FFFFFF"/>
            <w:right w:val="single" w:sz="6" w:space="0" w:color="FFFFFF"/>
          </w:divBdr>
        </w:div>
        <w:div w:id="1487087847">
          <w:marLeft w:val="0"/>
          <w:marRight w:val="0"/>
          <w:marTop w:val="0"/>
          <w:marBottom w:val="0"/>
          <w:divBdr>
            <w:top w:val="single" w:sz="6" w:space="0" w:color="FFFFFF"/>
            <w:left w:val="single" w:sz="6" w:space="0" w:color="FFFFFF"/>
            <w:bottom w:val="single" w:sz="6" w:space="0" w:color="FFFFFF"/>
            <w:right w:val="single" w:sz="6" w:space="0" w:color="FFFFFF"/>
          </w:divBdr>
        </w:div>
        <w:div w:id="923808186">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411346255">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01895427">
      <w:bodyDiv w:val="1"/>
      <w:marLeft w:val="0"/>
      <w:marRight w:val="0"/>
      <w:marTop w:val="0"/>
      <w:marBottom w:val="0"/>
      <w:divBdr>
        <w:top w:val="none" w:sz="0" w:space="0" w:color="auto"/>
        <w:left w:val="none" w:sz="0" w:space="0" w:color="auto"/>
        <w:bottom w:val="none" w:sz="0" w:space="0" w:color="auto"/>
        <w:right w:val="none" w:sz="0" w:space="0" w:color="auto"/>
      </w:divBdr>
      <w:divsChild>
        <w:div w:id="319583179">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690330224">
      <w:bodyDiv w:val="1"/>
      <w:marLeft w:val="0"/>
      <w:marRight w:val="0"/>
      <w:marTop w:val="0"/>
      <w:marBottom w:val="0"/>
      <w:divBdr>
        <w:top w:val="none" w:sz="0" w:space="0" w:color="auto"/>
        <w:left w:val="none" w:sz="0" w:space="0" w:color="auto"/>
        <w:bottom w:val="none" w:sz="0" w:space="0" w:color="auto"/>
        <w:right w:val="none" w:sz="0" w:space="0" w:color="auto"/>
      </w:divBdr>
    </w:div>
    <w:div w:id="1712655514">
      <w:bodyDiv w:val="1"/>
      <w:marLeft w:val="0"/>
      <w:marRight w:val="0"/>
      <w:marTop w:val="0"/>
      <w:marBottom w:val="0"/>
      <w:divBdr>
        <w:top w:val="none" w:sz="0" w:space="0" w:color="auto"/>
        <w:left w:val="none" w:sz="0" w:space="0" w:color="auto"/>
        <w:bottom w:val="none" w:sz="0" w:space="0" w:color="auto"/>
        <w:right w:val="none" w:sz="0" w:space="0" w:color="auto"/>
      </w:divBdr>
      <w:divsChild>
        <w:div w:id="202096575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16473595">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85443874">
      <w:bodyDiv w:val="1"/>
      <w:marLeft w:val="0"/>
      <w:marRight w:val="0"/>
      <w:marTop w:val="0"/>
      <w:marBottom w:val="0"/>
      <w:divBdr>
        <w:top w:val="none" w:sz="0" w:space="0" w:color="auto"/>
        <w:left w:val="none" w:sz="0" w:space="0" w:color="auto"/>
        <w:bottom w:val="none" w:sz="0" w:space="0" w:color="auto"/>
        <w:right w:val="none" w:sz="0" w:space="0" w:color="auto"/>
      </w:divBdr>
      <w:divsChild>
        <w:div w:id="1259021455">
          <w:marLeft w:val="0"/>
          <w:marRight w:val="0"/>
          <w:marTop w:val="0"/>
          <w:marBottom w:val="0"/>
          <w:divBdr>
            <w:top w:val="single" w:sz="6" w:space="0" w:color="FFFFFF"/>
            <w:left w:val="single" w:sz="6" w:space="0" w:color="FFFFFF"/>
            <w:bottom w:val="single" w:sz="6" w:space="0" w:color="FFFFFF"/>
            <w:right w:val="single" w:sz="6" w:space="0" w:color="FFFFFF"/>
          </w:divBdr>
        </w:div>
        <w:div w:id="296616072">
          <w:marLeft w:val="0"/>
          <w:marRight w:val="0"/>
          <w:marTop w:val="0"/>
          <w:marBottom w:val="0"/>
          <w:divBdr>
            <w:top w:val="single" w:sz="6" w:space="0" w:color="FFFFFF"/>
            <w:left w:val="single" w:sz="6" w:space="0" w:color="FFFFFF"/>
            <w:bottom w:val="single" w:sz="6" w:space="0" w:color="FFFFFF"/>
            <w:right w:val="single" w:sz="6" w:space="0" w:color="FFFFFF"/>
          </w:divBdr>
        </w:div>
        <w:div w:id="1008291966">
          <w:marLeft w:val="0"/>
          <w:marRight w:val="0"/>
          <w:marTop w:val="0"/>
          <w:marBottom w:val="0"/>
          <w:divBdr>
            <w:top w:val="single" w:sz="6" w:space="0" w:color="FFFFFF"/>
            <w:left w:val="single" w:sz="6" w:space="0" w:color="FFFFFF"/>
            <w:bottom w:val="single" w:sz="6" w:space="0" w:color="FFFFFF"/>
            <w:right w:val="single" w:sz="6" w:space="0" w:color="FFFFFF"/>
          </w:divBdr>
          <w:divsChild>
            <w:div w:id="1890333925">
              <w:marLeft w:val="0"/>
              <w:marRight w:val="0"/>
              <w:marTop w:val="0"/>
              <w:marBottom w:val="0"/>
              <w:divBdr>
                <w:top w:val="none" w:sz="0" w:space="0" w:color="auto"/>
                <w:left w:val="none" w:sz="0" w:space="0" w:color="auto"/>
                <w:bottom w:val="none" w:sz="0" w:space="0" w:color="auto"/>
                <w:right w:val="none" w:sz="0" w:space="0" w:color="auto"/>
              </w:divBdr>
            </w:div>
          </w:divsChild>
        </w:div>
        <w:div w:id="998315578">
          <w:marLeft w:val="0"/>
          <w:marRight w:val="0"/>
          <w:marTop w:val="0"/>
          <w:marBottom w:val="0"/>
          <w:divBdr>
            <w:top w:val="single" w:sz="6" w:space="0" w:color="FFFFFF"/>
            <w:left w:val="single" w:sz="6" w:space="0" w:color="FFFFFF"/>
            <w:bottom w:val="single" w:sz="6" w:space="0" w:color="FFFFFF"/>
            <w:right w:val="single" w:sz="6" w:space="0" w:color="FFFFFF"/>
          </w:divBdr>
        </w:div>
        <w:div w:id="1119107263">
          <w:marLeft w:val="0"/>
          <w:marRight w:val="0"/>
          <w:marTop w:val="0"/>
          <w:marBottom w:val="0"/>
          <w:divBdr>
            <w:top w:val="single" w:sz="6" w:space="0" w:color="FFFFFF"/>
            <w:left w:val="single" w:sz="6" w:space="0" w:color="FFFFFF"/>
            <w:bottom w:val="single" w:sz="6" w:space="0" w:color="FFFFFF"/>
            <w:right w:val="single" w:sz="6" w:space="0" w:color="FFFFFF"/>
          </w:divBdr>
        </w:div>
        <w:div w:id="1098713039">
          <w:marLeft w:val="0"/>
          <w:marRight w:val="0"/>
          <w:marTop w:val="0"/>
          <w:marBottom w:val="0"/>
          <w:divBdr>
            <w:top w:val="single" w:sz="6" w:space="0" w:color="FFFFFF"/>
            <w:left w:val="single" w:sz="6" w:space="0" w:color="FFFFFF"/>
            <w:bottom w:val="single" w:sz="6" w:space="0" w:color="FFFFFF"/>
            <w:right w:val="single" w:sz="6" w:space="0" w:color="FFFFFF"/>
          </w:divBdr>
          <w:divsChild>
            <w:div w:id="469979951">
              <w:marLeft w:val="0"/>
              <w:marRight w:val="0"/>
              <w:marTop w:val="0"/>
              <w:marBottom w:val="0"/>
              <w:divBdr>
                <w:top w:val="none" w:sz="0" w:space="0" w:color="auto"/>
                <w:left w:val="none" w:sz="0" w:space="0" w:color="auto"/>
                <w:bottom w:val="none" w:sz="0" w:space="0" w:color="auto"/>
                <w:right w:val="none" w:sz="0" w:space="0" w:color="auto"/>
              </w:divBdr>
            </w:div>
          </w:divsChild>
        </w:div>
        <w:div w:id="1710374754">
          <w:marLeft w:val="0"/>
          <w:marRight w:val="0"/>
          <w:marTop w:val="0"/>
          <w:marBottom w:val="0"/>
          <w:divBdr>
            <w:top w:val="single" w:sz="6" w:space="0" w:color="FFFFFF"/>
            <w:left w:val="single" w:sz="6" w:space="0" w:color="FFFFFF"/>
            <w:bottom w:val="single" w:sz="6" w:space="0" w:color="FFFFFF"/>
            <w:right w:val="single" w:sz="6" w:space="0" w:color="FFFFFF"/>
          </w:divBdr>
        </w:div>
        <w:div w:id="97331465">
          <w:marLeft w:val="0"/>
          <w:marRight w:val="0"/>
          <w:marTop w:val="0"/>
          <w:marBottom w:val="0"/>
          <w:divBdr>
            <w:top w:val="single" w:sz="6" w:space="0" w:color="FFFFFF"/>
            <w:left w:val="single" w:sz="6" w:space="0" w:color="FFFFFF"/>
            <w:bottom w:val="single" w:sz="6" w:space="0" w:color="FFFFFF"/>
            <w:right w:val="single" w:sz="6" w:space="0" w:color="FFFFFF"/>
          </w:divBdr>
          <w:divsChild>
            <w:div w:id="599532253">
              <w:marLeft w:val="0"/>
              <w:marRight w:val="0"/>
              <w:marTop w:val="0"/>
              <w:marBottom w:val="0"/>
              <w:divBdr>
                <w:top w:val="none" w:sz="0" w:space="0" w:color="auto"/>
                <w:left w:val="none" w:sz="0" w:space="0" w:color="auto"/>
                <w:bottom w:val="none" w:sz="0" w:space="0" w:color="auto"/>
                <w:right w:val="none" w:sz="0" w:space="0" w:color="auto"/>
              </w:divBdr>
            </w:div>
          </w:divsChild>
        </w:div>
        <w:div w:id="1832597111">
          <w:marLeft w:val="0"/>
          <w:marRight w:val="0"/>
          <w:marTop w:val="0"/>
          <w:marBottom w:val="0"/>
          <w:divBdr>
            <w:top w:val="single" w:sz="6" w:space="0" w:color="FFFFFF"/>
            <w:left w:val="single" w:sz="6" w:space="0" w:color="FFFFFF"/>
            <w:bottom w:val="single" w:sz="6" w:space="0" w:color="FFFFFF"/>
            <w:right w:val="single" w:sz="6" w:space="0" w:color="FFFFFF"/>
          </w:divBdr>
          <w:divsChild>
            <w:div w:id="156841708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javascript:Vincular(1274167)"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javascript:Vincular(1274160)" TargetMode="External"/><Relationship Id="rId2" Type="http://schemas.openxmlformats.org/officeDocument/2006/relationships/customXml" Target="../customXml/item2.xml"/><Relationship Id="rId16" Type="http://schemas.openxmlformats.org/officeDocument/2006/relationships/hyperlink" Target="javascript:Vincular(127416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Vincular(1274162)" TargetMode="External"/><Relationship Id="rId5" Type="http://schemas.microsoft.com/office/2007/relationships/stylesWithEffects" Target="stylesWithEffects.xml"/><Relationship Id="rId15" Type="http://schemas.openxmlformats.org/officeDocument/2006/relationships/hyperlink" Target="javascript:Vincular(1274164)" TargetMode="Externa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Vincular(1274163)"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1591D8-8F1F-4B4C-BF01-55F2A9A78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4674</Words>
  <Characters>25709</Characters>
  <Application>Microsoft Office Word</Application>
  <DocSecurity>0</DocSecurity>
  <Lines>214</Lines>
  <Paragraphs>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2017-03-13T15:22:00Z</cp:lastPrinted>
  <dcterms:created xsi:type="dcterms:W3CDTF">2017-03-24T16:49:00Z</dcterms:created>
  <dcterms:modified xsi:type="dcterms:W3CDTF">2017-03-24T16:49:00Z</dcterms:modified>
</cp:coreProperties>
</file>